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AI电影节作品与制作工业调研</w:t>
      </w:r>
    </w:p>
    <w:p>
      <w:pPr>
        <w:pStyle w:val="Subtitle"/>
      </w:pPr>
      <w:r>
        <w:t>Higgsfield Global Film Festival 样本研究 中美产业比较与制作流程</w:t>
      </w:r>
    </w:p>
    <w:p>
      <w:pPr>
        <w:pStyle w:val="Subtitle"/>
      </w:pPr>
      <w:r>
        <w:t>研究日期 2026年9月28日</w:t>
      </w:r>
    </w:p>
    <w:p>
      <w:pPr>
        <w:pStyle w:val="Heading1"/>
      </w:pPr>
      <w:r>
        <w:t>阅读结论</w:t>
      </w:r>
    </w:p>
    <w:p>
      <w:r>
        <w:t>AI电影已经能够产出具有统一美术、完整人物与事件推进的多分钟作品，也出现了长片和专业团队的混合制作案例。现有证据支持将其用于短片、风格化动画、概念开发及部分视效制作；这些成果尚不能证明，任意剧本都可以低成本、按期、少返工地转化为院线质量长片。判断工业化水平，应同时看成片质量、镜头可控性、修改成本和可重复交付能力，而不能只看最漂亮的几秒钟。</w:t>
      </w:r>
    </w:p>
    <w:p>
      <w:r>
        <w:t>中美都具备先进模型、创作者和专业试验项目。可观察的区别更多发生在资源组织与应用场景：本报告中的中国案例体现了短内容平台、电影节创制实验和本土题材的结合；美国机构案例体现了动画师、电影人、研究团队与现有后期流程的结合。两边均有人工作业密集的高质量路线，也均有自动化内容生产。证据不足以给出“美国全面领先”或“中国已全面超越”的结论，更不能估算领先几年。[S06—S12、S18、S22]</w:t>
      </w:r>
    </w:p>
    <w:p>
      <w:r>
        <w:t>对希望亲自制作作品的人，最值得学习的并非某条神奇提示词，而是一套可回退的制作流程：先验证故事和最难镜头，建立角色及场景基准，做带声音的动态分镜，然后分镜生成、及时剪辑、逐镜修正，最后完成声音、字幕、交付与来源归档。本报告后半部分给出可执行的四周试制计划及验收表。</w:t>
      </w:r>
    </w:p>
    <w:p>
      <w:pPr>
        <w:pStyle w:val="Heading1"/>
      </w:pPr>
      <w:r>
        <w:t>研究口径与证据边界</w:t>
      </w:r>
    </w:p>
    <w:p>
      <w:r>
        <w:t>本次研究将“模型演示”“完整公开影片”“电影节投稿”“入围及获奖”“商业发行”视为不同事实。视频上出现官方标志，只能证明它带有标识；项目公开也不等于已通过最终资格审查。没有结果公告的作品不列为获奖片。官方示范作品单列，不与普通参赛团队混算。</w:t>
      </w:r>
    </w:p>
    <w:p>
      <w:r>
        <w:t>样本来自电影节官方项目页、官方推荐及作者公开发布的项目链接，采用目的性采样，偏重完整、可访问、有研究价值的作品。这会偏向平台愿意推荐、作者愿意公开的项目，并非随机样本，不能据此推算参赛作品平均质量、合格率或国别胜率。</w:t>
      </w:r>
    </w:p>
    <w:p>
      <w:r>
        <w:t>证据分四类：A为正式规则、官方作品页与本地媒体测量；B为具名主创制作自述及机构案例；C为基于样本和多个案例的分析判断；D为本报告建议的计划、预算情景和质量门槛。厂商功能说明用于确认功能存在，不等于独立性能测试；主创披露的工时和花费未作财务审计。</w:t>
      </w:r>
    </w:p>
    <w:p>
      <w:r>
        <w:t>本地下载保留原片的声音、水印和片尾。播放版用于研究构图、叙事组织及风格；较低清晰度不能用于判断制作母版的颗粒、细微肤质、影院锐度。抽帧检查能够支持静态构图和跨场景外观观察，不能替代连续观看对表演、运动和声音的评判。逐片检查方式和限制见作品目录，不虚构整片观看经历或获奖预测。</w:t>
      </w:r>
    </w:p>
    <w:p>
      <w:pPr>
        <w:pStyle w:val="Heading1"/>
      </w:pPr>
      <w:r>
        <w:t>电影节的门槛究竟是什么</w:t>
      </w:r>
    </w:p>
    <w:p>
      <w:pPr>
        <w:pStyle w:val="Heading2"/>
      </w:pPr>
      <w:r>
        <w:t>Higgsfield 本届要求</w:t>
      </w:r>
    </w:p>
    <w:p>
      <w:r>
        <w:t>本届正式规则最后更新于9月16日：参赛者须成年，可单人或最多四人组队；影片至少3分钟，推荐不超过5分钟但允许更长；提交MP4或MOV，最高4K，需英文字幕或英语旁白。AI图像和视频须在专用Higgsfield项目生成，传统剪辑、合成和三维制作可以使用；声音必须由AI生成。最终成片须含官方水印及片尾标识，并提供公开社交发布链接和可核验的项目资产。[S01]</w:t>
      </w:r>
    </w:p>
    <w:p>
      <w:r>
        <w:t>正式赛程显示截止日为9月16日、评审在10月进行，获奖结果计划10月末公布。截至研究日不应把样本称为本届获奖作品。较早博客仍写9月15日，采用正式规则与赛程日期。个别媒体提前使用“Top 50”“提名”等表述，应与最终名单区分。[S02、S03、S23]</w:t>
      </w:r>
    </w:p>
    <w:p>
      <w:r>
        <w:t>内容与素材限制需要在写剧本前核对，包括真实人物的脸和声音、第三方IP、儿童相关内容等。不要把其他电影节允许的题材和素材直接搬入本届。官方要求留存项目资产，这使制作记录本身成为交付的一部分。[S01]</w:t>
      </w:r>
    </w:p>
    <w:p>
      <w:pPr>
        <w:pStyle w:val="Heading2"/>
      </w:pPr>
      <w:r>
        <w:t>三种标准不能混用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3312"/>
        <w:gridCol w:w="4176"/>
      </w:tblGrid>
      <w:tr>
        <w:trPr>
          <w:cantSplit/>
          <w:tblHeader/>
        </w:trPr>
        <w:tc>
          <w:tcPr>
            <w:tcW w:type="dxa" w:w="2088"/>
            <w:vAlign w:val="center"/>
            <w:tcMar>
              <w:top w:w="85" w:type="dxa"/>
              <w:left w:w="85" w:type="dxa"/>
              <w:bottom w:w="85" w:type="dxa"/>
              <w:right w:w="85" w:type="dxa"/>
            </w:tcMar>
            <w:shd w:fill="24465B"/>
          </w:tcPr>
          <w:p>
            <w:pPr>
              <w:spacing w:after="20" w:line="276" w:lineRule="auto"/>
            </w:pPr>
            <w:r>
              <w:rPr>
                <w:b/>
                <w:color w:val="FFFFFF"/>
                <w:sz w:val="18"/>
              </w:rPr>
              <w:t>层次</w:t>
            </w:r>
          </w:p>
        </w:tc>
        <w:tc>
          <w:tcPr>
            <w:tcW w:type="dxa" w:w="3312"/>
            <w:vAlign w:val="center"/>
            <w:tcMar>
              <w:top w:w="85" w:type="dxa"/>
              <w:left w:w="85" w:type="dxa"/>
              <w:bottom w:w="85" w:type="dxa"/>
              <w:right w:w="85" w:type="dxa"/>
            </w:tcMar>
            <w:shd w:fill="24465B"/>
          </w:tcPr>
          <w:p>
            <w:pPr>
              <w:spacing w:after="20" w:line="276" w:lineRule="auto"/>
            </w:pPr>
            <w:r>
              <w:rPr>
                <w:b/>
                <w:color w:val="FFFFFF"/>
                <w:sz w:val="18"/>
              </w:rPr>
              <w:t>它回答的问题</w:t>
            </w:r>
          </w:p>
        </w:tc>
        <w:tc>
          <w:tcPr>
            <w:tcW w:type="dxa" w:w="4176"/>
            <w:vAlign w:val="center"/>
            <w:tcMar>
              <w:top w:w="85" w:type="dxa"/>
              <w:left w:w="85" w:type="dxa"/>
              <w:bottom w:w="85" w:type="dxa"/>
              <w:right w:w="85" w:type="dxa"/>
            </w:tcMar>
            <w:shd w:fill="24465B"/>
          </w:tcPr>
          <w:p>
            <w:pPr>
              <w:spacing w:after="20" w:line="276" w:lineRule="auto"/>
            </w:pPr>
            <w:r>
              <w:rPr>
                <w:b/>
                <w:color w:val="FFFFFF"/>
                <w:sz w:val="18"/>
              </w:rPr>
              <w:t>达标的实际证据</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资格标准</w:t>
            </w:r>
          </w:p>
        </w:tc>
        <w:tc>
          <w:tcPr>
            <w:tcW w:type="dxa" w:w="3312"/>
            <w:vAlign w:val="center"/>
            <w:tcMar>
              <w:top w:w="85" w:type="dxa"/>
              <w:left w:w="85" w:type="dxa"/>
              <w:bottom w:w="85" w:type="dxa"/>
              <w:right w:w="85" w:type="dxa"/>
            </w:tcMar>
            <w:shd w:fill="FFFFFF"/>
          </w:tcPr>
          <w:p>
            <w:pPr>
              <w:spacing w:after="20" w:line="276" w:lineRule="auto"/>
            </w:pPr>
            <w:r>
              <w:rPr>
                <w:sz w:val="18"/>
              </w:rPr>
              <w:t>能否参加某一赛事</w:t>
            </w:r>
          </w:p>
        </w:tc>
        <w:tc>
          <w:tcPr>
            <w:tcW w:type="dxa" w:w="4176"/>
            <w:vAlign w:val="center"/>
            <w:tcMar>
              <w:top w:w="85" w:type="dxa"/>
              <w:left w:w="85" w:type="dxa"/>
              <w:bottom w:w="85" w:type="dxa"/>
              <w:right w:w="85" w:type="dxa"/>
            </w:tcMar>
            <w:shd w:fill="FFFFFF"/>
          </w:tcPr>
          <w:p>
            <w:pPr>
              <w:spacing w:after="20" w:line="276" w:lineRule="auto"/>
            </w:pPr>
            <w:r>
              <w:rPr>
                <w:sz w:val="18"/>
              </w:rPr>
              <w:t>片长、素材来源、项目记录、字幕和提交项符合该届规则</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作品标准</w:t>
            </w:r>
          </w:p>
        </w:tc>
        <w:tc>
          <w:tcPr>
            <w:tcW w:type="dxa" w:w="3312"/>
            <w:vAlign w:val="center"/>
            <w:tcMar>
              <w:top w:w="85" w:type="dxa"/>
              <w:left w:w="85" w:type="dxa"/>
              <w:bottom w:w="85" w:type="dxa"/>
              <w:right w:w="85" w:type="dxa"/>
            </w:tcMar>
            <w:shd w:fill="F2F5F7"/>
          </w:tcPr>
          <w:p>
            <w:pPr>
              <w:spacing w:after="20" w:line="276" w:lineRule="auto"/>
            </w:pPr>
            <w:r>
              <w:rPr>
                <w:sz w:val="18"/>
              </w:rPr>
              <w:t>是否值得完整看完</w:t>
            </w:r>
          </w:p>
        </w:tc>
        <w:tc>
          <w:tcPr>
            <w:tcW w:type="dxa" w:w="4176"/>
            <w:vAlign w:val="center"/>
            <w:tcMar>
              <w:top w:w="85" w:type="dxa"/>
              <w:left w:w="85" w:type="dxa"/>
              <w:bottom w:w="85" w:type="dxa"/>
              <w:right w:w="85" w:type="dxa"/>
            </w:tcMar>
            <w:shd w:fill="F2F5F7"/>
          </w:tcPr>
          <w:p>
            <w:pPr>
              <w:spacing w:after="20" w:line="276" w:lineRule="auto"/>
            </w:pPr>
            <w:r>
              <w:rPr>
                <w:sz w:val="18"/>
              </w:rPr>
              <w:t>叙事清楚、情绪有效、视听统一、表达有独特性</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工业标准</w:t>
            </w:r>
          </w:p>
        </w:tc>
        <w:tc>
          <w:tcPr>
            <w:tcW w:type="dxa" w:w="3312"/>
            <w:vAlign w:val="center"/>
            <w:tcMar>
              <w:top w:w="85" w:type="dxa"/>
              <w:left w:w="85" w:type="dxa"/>
              <w:bottom w:w="85" w:type="dxa"/>
              <w:right w:w="85" w:type="dxa"/>
            </w:tcMar>
            <w:shd w:fill="FFFFFF"/>
          </w:tcPr>
          <w:p>
            <w:pPr>
              <w:spacing w:after="20" w:line="276" w:lineRule="auto"/>
            </w:pPr>
            <w:r>
              <w:rPr>
                <w:sz w:val="18"/>
              </w:rPr>
              <w:t>能否持续按需求交付</w:t>
            </w:r>
          </w:p>
        </w:tc>
        <w:tc>
          <w:tcPr>
            <w:tcW w:type="dxa" w:w="4176"/>
            <w:vAlign w:val="center"/>
            <w:tcMar>
              <w:top w:w="85" w:type="dxa"/>
              <w:left w:w="85" w:type="dxa"/>
              <w:bottom w:w="85" w:type="dxa"/>
              <w:right w:w="85" w:type="dxa"/>
            </w:tcMar>
            <w:shd w:fill="FFFFFF"/>
          </w:tcPr>
          <w:p>
            <w:pPr>
              <w:spacing w:after="20" w:line="276" w:lineRule="auto"/>
            </w:pPr>
            <w:r>
              <w:rPr>
                <w:sz w:val="18"/>
              </w:rPr>
              <w:t>修改可控、版本可追溯、人员可协作、预算和周期可信</w:t>
            </w:r>
          </w:p>
        </w:tc>
      </w:tr>
    </w:tbl>
    <w:p>
      <w:pPr>
        <w:spacing w:after="0"/>
      </w:pPr>
    </w:p>
    <w:p>
      <w:r>
        <w:t>Higgsfield把导演与叙事、视觉、声音与剪辑、原创概念作为评审方向，未公布可据以计算的统一百分比权重。[S01] 本报告后文的评分表是内部制作建议，不是官方打分表，也不预示评委结果。</w:t>
      </w:r>
    </w:p>
    <w:p>
      <w:r>
        <w:t>Runway AIFF 2025公开的投稿条件包括1—10分钟、使用生成视频、以Runway或YouTube链接提交；其门槛不同于Higgsfield。[S04] 一部2分49秒的获奖片可以符合另一个电影节，而不符合本届Higgsfield的最低片长。这说明不存在一份适用于所有“AI电影节”的技术清单。</w:t>
      </w:r>
    </w:p>
    <w:p>
      <w:pPr>
        <w:pStyle w:val="Heading2"/>
      </w:pPr>
      <w:r>
        <w:t>别把节展活动当成主竞赛荣誉</w:t>
      </w:r>
    </w:p>
    <w:p>
      <w:r>
        <w:t>电影节产业单元、技术论坛、场外放映和主竞赛是不同层级的活动。Google的《Dear Upstairs Neighbors》资料明确指向Sundance Institute Story Forum展示；上影节AI片场的“视觉探索荣誉”也应按单元原名称表述。[S06、S10] 影片在戛纳期间出现、被国际媒体报道或具有好莱坞评委，并不能自动获得传统电影节主竞赛身份。</w:t>
      </w:r>
    </w:p>
    <w:p>
      <w:pPr>
        <w:pStyle w:val="Heading1"/>
      </w:pPr>
      <w:r>
        <w:t>AI电影工业已经走到哪里</w:t>
      </w:r>
    </w:p>
    <w:p>
      <w:pPr>
        <w:pStyle w:val="Heading2"/>
      </w:pPr>
      <w:r>
        <w:t>从片段生成走向组织完整作品</w:t>
      </w:r>
    </w:p>
    <w:p>
      <w:r>
        <w:t>本地样本包含多部3分钟以上的完整影片，另收集官方长片参考。它们证明“生成素材能被组织为长时间视听作品”已是现实能力。片长是交付事实，不是质量分数；用大量短镜头、旁白或音乐组织长片，与长时间保持细腻表演和因果连续，是不同难度的任务。</w:t>
      </w:r>
    </w:p>
    <w:p>
      <w:r>
        <w:t>当前能力变化可分为四层：第一层是单个漂亮画面与短动作；第二层是可辨认角色在多个镜头反复出现；第三层是场景、动作、台词共同推动一个段落；第四层是跨段落的人物变化与全片节奏。优秀样本正在向后三层推进，但不能用第一层的演示效果代替第四层的交付证明。</w:t>
      </w:r>
    </w:p>
    <w:p>
      <w:pPr>
        <w:pStyle w:val="Heading2"/>
      </w:pPr>
      <w:r>
        <w:t>各项能力怎样判断</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3312"/>
        <w:gridCol w:w="4176"/>
      </w:tblGrid>
      <w:tr>
        <w:trPr>
          <w:cantSplit/>
          <w:tblHeader/>
        </w:trPr>
        <w:tc>
          <w:tcPr>
            <w:tcW w:type="dxa" w:w="2088"/>
            <w:vAlign w:val="center"/>
            <w:tcMar>
              <w:top w:w="85" w:type="dxa"/>
              <w:left w:w="85" w:type="dxa"/>
              <w:bottom w:w="85" w:type="dxa"/>
              <w:right w:w="85" w:type="dxa"/>
            </w:tcMar>
            <w:shd w:fill="24465B"/>
          </w:tcPr>
          <w:p>
            <w:pPr>
              <w:spacing w:after="20" w:line="276" w:lineRule="auto"/>
            </w:pPr>
            <w:r>
              <w:rPr>
                <w:b/>
                <w:color w:val="FFFFFF"/>
                <w:sz w:val="18"/>
              </w:rPr>
              <w:t>能力</w:t>
            </w:r>
          </w:p>
        </w:tc>
        <w:tc>
          <w:tcPr>
            <w:tcW w:type="dxa" w:w="3312"/>
            <w:vAlign w:val="center"/>
            <w:tcMar>
              <w:top w:w="85" w:type="dxa"/>
              <w:left w:w="85" w:type="dxa"/>
              <w:bottom w:w="85" w:type="dxa"/>
              <w:right w:w="85" w:type="dxa"/>
            </w:tcMar>
            <w:shd w:fill="24465B"/>
          </w:tcPr>
          <w:p>
            <w:pPr>
              <w:spacing w:after="20" w:line="276" w:lineRule="auto"/>
            </w:pPr>
            <w:r>
              <w:rPr>
                <w:b/>
                <w:color w:val="FFFFFF"/>
                <w:sz w:val="18"/>
              </w:rPr>
              <w:t>目前有依据的判断</w:t>
            </w:r>
          </w:p>
        </w:tc>
        <w:tc>
          <w:tcPr>
            <w:tcW w:type="dxa" w:w="4176"/>
            <w:vAlign w:val="center"/>
            <w:tcMar>
              <w:top w:w="85" w:type="dxa"/>
              <w:left w:w="85" w:type="dxa"/>
              <w:bottom w:w="85" w:type="dxa"/>
              <w:right w:w="85" w:type="dxa"/>
            </w:tcMar>
            <w:shd w:fill="24465B"/>
          </w:tcPr>
          <w:p>
            <w:pPr>
              <w:spacing w:after="20" w:line="276" w:lineRule="auto"/>
            </w:pPr>
            <w:r>
              <w:rPr>
                <w:b/>
                <w:color w:val="FFFFFF"/>
                <w:sz w:val="18"/>
              </w:rPr>
              <w:t>生产中仍需验证的部分</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美术与世界构建</w:t>
            </w:r>
          </w:p>
        </w:tc>
        <w:tc>
          <w:tcPr>
            <w:tcW w:type="dxa" w:w="3312"/>
            <w:vAlign w:val="center"/>
            <w:tcMar>
              <w:top w:w="85" w:type="dxa"/>
              <w:left w:w="85" w:type="dxa"/>
              <w:bottom w:w="85" w:type="dxa"/>
              <w:right w:w="85" w:type="dxa"/>
            </w:tcMar>
            <w:shd w:fill="FFFFFF"/>
          </w:tcPr>
          <w:p>
            <w:pPr>
              <w:spacing w:after="20" w:line="276" w:lineRule="auto"/>
            </w:pPr>
            <w:r>
              <w:rPr>
                <w:sz w:val="18"/>
              </w:rPr>
              <w:t>可支持多种风格和复杂想象空间</w:t>
            </w:r>
          </w:p>
        </w:tc>
        <w:tc>
          <w:tcPr>
            <w:tcW w:type="dxa" w:w="4176"/>
            <w:vAlign w:val="center"/>
            <w:tcMar>
              <w:top w:w="85" w:type="dxa"/>
              <w:left w:w="85" w:type="dxa"/>
              <w:bottom w:w="85" w:type="dxa"/>
              <w:right w:w="85" w:type="dxa"/>
            </w:tcMar>
            <w:shd w:fill="FFFFFF"/>
          </w:tcPr>
          <w:p>
            <w:pPr>
              <w:spacing w:after="20" w:line="276" w:lineRule="auto"/>
            </w:pPr>
            <w:r>
              <w:rPr>
                <w:sz w:val="18"/>
              </w:rPr>
              <w:t>是否能持续遵守自定义美术，而非回到模型惯常画风</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角色连续性</w:t>
            </w:r>
          </w:p>
        </w:tc>
        <w:tc>
          <w:tcPr>
            <w:tcW w:type="dxa" w:w="3312"/>
            <w:vAlign w:val="center"/>
            <w:tcMar>
              <w:top w:w="85" w:type="dxa"/>
              <w:left w:w="85" w:type="dxa"/>
              <w:bottom w:w="85" w:type="dxa"/>
              <w:right w:w="85" w:type="dxa"/>
            </w:tcMar>
            <w:shd w:fill="F2F5F7"/>
          </w:tcPr>
          <w:p>
            <w:pPr>
              <w:spacing w:after="20" w:line="276" w:lineRule="auto"/>
            </w:pPr>
            <w:r>
              <w:rPr>
                <w:sz w:val="18"/>
              </w:rPr>
              <w:t>参考资产和专门控制流程可改善跨镜识别</w:t>
            </w:r>
          </w:p>
        </w:tc>
        <w:tc>
          <w:tcPr>
            <w:tcW w:type="dxa" w:w="4176"/>
            <w:vAlign w:val="center"/>
            <w:tcMar>
              <w:top w:w="85" w:type="dxa"/>
              <w:left w:w="85" w:type="dxa"/>
              <w:bottom w:w="85" w:type="dxa"/>
              <w:right w:w="85" w:type="dxa"/>
            </w:tcMar>
            <w:shd w:fill="F2F5F7"/>
          </w:tcPr>
          <w:p>
            <w:pPr>
              <w:spacing w:after="20" w:line="276" w:lineRule="auto"/>
            </w:pPr>
            <w:r>
              <w:rPr>
                <w:sz w:val="18"/>
              </w:rPr>
              <w:t>侧脸、遮挡、服装、年龄感及近景细节是否漂移</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运动与互动</w:t>
            </w:r>
          </w:p>
        </w:tc>
        <w:tc>
          <w:tcPr>
            <w:tcW w:type="dxa" w:w="3312"/>
            <w:vAlign w:val="center"/>
            <w:tcMar>
              <w:top w:w="85" w:type="dxa"/>
              <w:left w:w="85" w:type="dxa"/>
              <w:bottom w:w="85" w:type="dxa"/>
              <w:right w:w="85" w:type="dxa"/>
            </w:tcMar>
            <w:shd w:fill="FFFFFF"/>
          </w:tcPr>
          <w:p>
            <w:pPr>
              <w:spacing w:after="20" w:line="276" w:lineRule="auto"/>
            </w:pPr>
            <w:r>
              <w:rPr>
                <w:sz w:val="18"/>
              </w:rPr>
              <w:t>参考驱动、多模态输入提供更强控制</w:t>
            </w:r>
          </w:p>
        </w:tc>
        <w:tc>
          <w:tcPr>
            <w:tcW w:type="dxa" w:w="4176"/>
            <w:vAlign w:val="center"/>
            <w:tcMar>
              <w:top w:w="85" w:type="dxa"/>
              <w:left w:w="85" w:type="dxa"/>
              <w:bottom w:w="85" w:type="dxa"/>
              <w:right w:w="85" w:type="dxa"/>
            </w:tcMar>
            <w:shd w:fill="FFFFFF"/>
          </w:tcPr>
          <w:p>
            <w:pPr>
              <w:spacing w:after="20" w:line="276" w:lineRule="auto"/>
            </w:pPr>
            <w:r>
              <w:rPr>
                <w:sz w:val="18"/>
              </w:rPr>
              <w:t>手与物的接触、受力、复杂多人动作、运动终点</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表演</w:t>
            </w:r>
          </w:p>
        </w:tc>
        <w:tc>
          <w:tcPr>
            <w:tcW w:type="dxa" w:w="3312"/>
            <w:vAlign w:val="center"/>
            <w:tcMar>
              <w:top w:w="85" w:type="dxa"/>
              <w:left w:w="85" w:type="dxa"/>
              <w:bottom w:w="85" w:type="dxa"/>
              <w:right w:w="85" w:type="dxa"/>
            </w:tcMar>
            <w:shd w:fill="F2F5F7"/>
          </w:tcPr>
          <w:p>
            <w:pPr>
              <w:spacing w:after="20" w:line="276" w:lineRule="auto"/>
            </w:pPr>
            <w:r>
              <w:rPr>
                <w:sz w:val="18"/>
              </w:rPr>
              <w:t>已可组织对话和情绪场景</w:t>
            </w:r>
          </w:p>
        </w:tc>
        <w:tc>
          <w:tcPr>
            <w:tcW w:type="dxa" w:w="4176"/>
            <w:vAlign w:val="center"/>
            <w:tcMar>
              <w:top w:w="85" w:type="dxa"/>
              <w:left w:w="85" w:type="dxa"/>
              <w:bottom w:w="85" w:type="dxa"/>
              <w:right w:w="85" w:type="dxa"/>
            </w:tcMar>
            <w:shd w:fill="F2F5F7"/>
          </w:tcPr>
          <w:p>
            <w:pPr>
              <w:spacing w:after="20" w:line="276" w:lineRule="auto"/>
            </w:pPr>
            <w:r>
              <w:rPr>
                <w:sz w:val="18"/>
              </w:rPr>
              <w:t>犹豫、克制、停顿、听对手说话时的反应是否精确</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剪辑与声音</w:t>
            </w:r>
          </w:p>
        </w:tc>
        <w:tc>
          <w:tcPr>
            <w:tcW w:type="dxa" w:w="3312"/>
            <w:vAlign w:val="center"/>
            <w:tcMar>
              <w:top w:w="85" w:type="dxa"/>
              <w:left w:w="85" w:type="dxa"/>
              <w:bottom w:w="85" w:type="dxa"/>
              <w:right w:w="85" w:type="dxa"/>
            </w:tcMar>
            <w:shd w:fill="FFFFFF"/>
          </w:tcPr>
          <w:p>
            <w:pPr>
              <w:spacing w:after="20" w:line="276" w:lineRule="auto"/>
            </w:pPr>
            <w:r>
              <w:rPr>
                <w:sz w:val="18"/>
              </w:rPr>
              <w:t>可以形成完整节奏，声音工具降低素材门槛</w:t>
            </w:r>
          </w:p>
        </w:tc>
        <w:tc>
          <w:tcPr>
            <w:tcW w:type="dxa" w:w="4176"/>
            <w:vAlign w:val="center"/>
            <w:tcMar>
              <w:top w:w="85" w:type="dxa"/>
              <w:left w:w="85" w:type="dxa"/>
              <w:bottom w:w="85" w:type="dxa"/>
              <w:right w:w="85" w:type="dxa"/>
            </w:tcMar>
            <w:shd w:fill="FFFFFF"/>
          </w:tcPr>
          <w:p>
            <w:pPr>
              <w:spacing w:after="20" w:line="276" w:lineRule="auto"/>
            </w:pPr>
            <w:r>
              <w:rPr>
                <w:sz w:val="18"/>
              </w:rPr>
              <w:t>每个声源是否有动机，台词是否清楚，情绪是否被音乐强推</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可修改性</w:t>
            </w:r>
          </w:p>
        </w:tc>
        <w:tc>
          <w:tcPr>
            <w:tcW w:type="dxa" w:w="3312"/>
            <w:vAlign w:val="center"/>
            <w:tcMar>
              <w:top w:w="85" w:type="dxa"/>
              <w:left w:w="85" w:type="dxa"/>
              <w:bottom w:w="85" w:type="dxa"/>
              <w:right w:w="85" w:type="dxa"/>
            </w:tcMar>
            <w:shd w:fill="F2F5F7"/>
          </w:tcPr>
          <w:p>
            <w:pPr>
              <w:spacing w:after="20" w:line="276" w:lineRule="auto"/>
            </w:pPr>
            <w:r>
              <w:rPr>
                <w:sz w:val="18"/>
              </w:rPr>
              <w:t>局部调整与传统合成可减少重做</w:t>
            </w:r>
          </w:p>
        </w:tc>
        <w:tc>
          <w:tcPr>
            <w:tcW w:type="dxa" w:w="4176"/>
            <w:vAlign w:val="center"/>
            <w:tcMar>
              <w:top w:w="85" w:type="dxa"/>
              <w:left w:w="85" w:type="dxa"/>
              <w:bottom w:w="85" w:type="dxa"/>
              <w:right w:w="85" w:type="dxa"/>
            </w:tcMar>
            <w:shd w:fill="F2F5F7"/>
          </w:tcPr>
          <w:p>
            <w:pPr>
              <w:spacing w:after="20" w:line="276" w:lineRule="auto"/>
            </w:pPr>
            <w:r>
              <w:rPr>
                <w:sz w:val="18"/>
              </w:rPr>
              <w:t>改一个动作或一句台词会不会破坏其他已经批准内容</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长片交付</w:t>
            </w:r>
          </w:p>
        </w:tc>
        <w:tc>
          <w:tcPr>
            <w:tcW w:type="dxa" w:w="3312"/>
            <w:vAlign w:val="center"/>
            <w:tcMar>
              <w:top w:w="85" w:type="dxa"/>
              <w:left w:w="85" w:type="dxa"/>
              <w:bottom w:w="85" w:type="dxa"/>
              <w:right w:w="85" w:type="dxa"/>
            </w:tcMar>
            <w:shd w:fill="FFFFFF"/>
          </w:tcPr>
          <w:p>
            <w:pPr>
              <w:spacing w:after="20" w:line="276" w:lineRule="auto"/>
            </w:pPr>
            <w:r>
              <w:rPr>
                <w:sz w:val="18"/>
              </w:rPr>
              <w:t>存在完整长片参考</w:t>
            </w:r>
          </w:p>
        </w:tc>
        <w:tc>
          <w:tcPr>
            <w:tcW w:type="dxa" w:w="4176"/>
            <w:vAlign w:val="center"/>
            <w:tcMar>
              <w:top w:w="85" w:type="dxa"/>
              <w:left w:w="85" w:type="dxa"/>
              <w:bottom w:w="85" w:type="dxa"/>
              <w:right w:w="85" w:type="dxa"/>
            </w:tcMar>
            <w:shd w:fill="FFFFFF"/>
          </w:tcPr>
          <w:p>
            <w:pPr>
              <w:spacing w:after="20" w:line="276" w:lineRule="auto"/>
            </w:pPr>
            <w:r>
              <w:rPr>
                <w:sz w:val="18"/>
              </w:rPr>
              <w:t>成本、收看完成率、持续表演和多轮修改缺少统一公开验证</w:t>
            </w:r>
          </w:p>
        </w:tc>
      </w:tr>
    </w:tbl>
    <w:p>
      <w:pPr>
        <w:spacing w:after="0"/>
      </w:pPr>
    </w:p>
    <w:p>
      <w:r>
        <w:t>上表是研究判断，不是本次对各模型进行同题评测的结果。模型更新频繁，真正采购或开工前，应按自己的题材重新进行固定测试。</w:t>
      </w:r>
    </w:p>
    <w:p>
      <w:pPr>
        <w:pStyle w:val="Heading2"/>
      </w:pPr>
      <w:r>
        <w:t>为什么控制比生成更稀缺</w:t>
      </w:r>
    </w:p>
    <w:p>
      <w:r>
        <w:t>“画面好看”解决的是单次输出问题；导演需要的是一组约束同时成立：人物先看见门、再压低声音、最后放下杯子；杯子的位置能接下一个镜头；情绪要和上一个段落一致。某次生成只要违反其中一项，就可能不能剪进成片。约束越多，随机采样带来的时间和预算不确定性越大。</w:t>
      </w:r>
    </w:p>
    <w:p>
      <w:r>
        <w:t>Google的动画制作案例采用定制模型、粗动画驱动和局部修改，并在每日看片中多轮修正，说明高要求项目仍需要人工定义动作和节奏。[S10] 由此推导，最重要的生产指标应是“每个批准镜头的总成本”和“修改后保留了多少已批准内容”，而非一次生成的速度。</w:t>
      </w:r>
    </w:p>
    <w:p>
      <w:pPr>
        <w:pStyle w:val="Heading2"/>
      </w:pPr>
      <w:r>
        <w:t>宣传成本为什么容易失真</w:t>
      </w:r>
    </w:p>
    <w:p>
      <w:r>
        <w:t>Higgsfield的流程文章给出约150—160美元制作5分钟短片的示例，但其算式主要按最终时长对应生成量计价。[S14] 这不是对参赛片总成本的审计，也不能当作包含失败镜头、人工、声音后期、字幕和多轮修改的全包报价。</w:t>
      </w:r>
    </w:p>
    <w:p>
      <w:r>
        <w:t>设成片长度为L、平均采用镜头长度为a，镜头数量约为N=L/a；每镜平均生成k次，每次生成g秒，则总生成秒数约为N×k×g。还要加风格测试、局部修复、音频、放大、人员工时与订阅闲置成本。应该同时记录最终采用时长和全部生成时长，才知道“便宜”来自工具效率、题材简化，还是没有计算劳动。</w:t>
      </w:r>
    </w:p>
    <w:p>
      <w:pPr>
        <w:pStyle w:val="Heading2"/>
      </w:pPr>
      <w:r>
        <w:t>目前适合哪些业务</w:t>
      </w:r>
    </w:p>
    <w:p>
      <w:r>
        <w:t>作为制作策略，风格化短片、概念验证、视觉开发及部分非实拍视效是合理切入点：可以限定人物与场景，让资产复用，错误也较容易定位。需要长期维持人物微妙表演、精确产品外观、复杂物理互动或频繁客户修改的内容，应先做试片再报价。这里是风险分配建议，不是市场份额或行业成功率结论。</w:t>
      </w:r>
    </w:p>
    <w:p>
      <w:r>
        <w:t>“AI辅助电影”和“全AI电影”会长期并行。从单部作品看，哪种方式更好取决于创作目标。把真人表演、传统动画、三维、合成与AI组合，不代表技术落后；它可能是获得确定性最有效的方法。</w:t>
      </w:r>
    </w:p>
    <w:p>
      <w:pPr>
        <w:pStyle w:val="Heading1"/>
      </w:pPr>
      <w:r>
        <w:t>中美之间有哪些可证实的差异</w:t>
      </w:r>
    </w:p>
    <w:p>
      <w:pPr>
        <w:pStyle w:val="Heading2"/>
      </w:pPr>
      <w:r>
        <w:t>比较对象必须相同</w:t>
      </w:r>
    </w:p>
    <w:p>
      <w:r>
        <w:t>本报告不按片名语言、人物长相或民族题材推断国籍。模型研发方所在地、制作公司所在地、导演身份、影片语言、资金和发行平台应分别记录。Higgsfield赛事是国际平台上的全球作品集合，不能代表美国电影样本；在中国电影节展映的国际合制作品也不应全部归为中国制作。</w:t>
      </w:r>
    </w:p>
    <w:p>
      <w:r>
        <w:t>模型层面的胜负需同题、同预算、同参考、同审核人、同日期测试；影片层面的胜负需相近片长、题材、人数和成本。当前样本不具备这些控制条件，因此下列比较是产业路径观察。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2664"/>
        <w:gridCol w:w="2664"/>
        <w:gridCol w:w="2808"/>
      </w:tblGrid>
      <w:tr>
        <w:trPr>
          <w:cantSplit/>
          <w:tblHeader/>
        </w:trPr>
        <w:tc>
          <w:tcPr>
            <w:tcW w:type="dxa" w:w="1440"/>
            <w:vAlign w:val="center"/>
            <w:tcMar>
              <w:top w:w="85" w:type="dxa"/>
              <w:left w:w="85" w:type="dxa"/>
              <w:bottom w:w="85" w:type="dxa"/>
              <w:right w:w="85" w:type="dxa"/>
            </w:tcMar>
            <w:shd w:fill="24465B"/>
          </w:tcPr>
          <w:p>
            <w:pPr>
              <w:spacing w:after="20" w:line="276" w:lineRule="auto"/>
            </w:pPr>
            <w:r>
              <w:rPr>
                <w:b/>
                <w:color w:val="FFFFFF"/>
                <w:sz w:val="18"/>
              </w:rPr>
              <w:t>维度</w:t>
            </w:r>
          </w:p>
        </w:tc>
        <w:tc>
          <w:tcPr>
            <w:tcW w:type="dxa" w:w="2664"/>
            <w:vAlign w:val="center"/>
            <w:tcMar>
              <w:top w:w="85" w:type="dxa"/>
              <w:left w:w="85" w:type="dxa"/>
              <w:bottom w:w="85" w:type="dxa"/>
              <w:right w:w="85" w:type="dxa"/>
            </w:tcMar>
            <w:shd w:fill="24465B"/>
          </w:tcPr>
          <w:p>
            <w:pPr>
              <w:spacing w:after="20" w:line="276" w:lineRule="auto"/>
            </w:pPr>
            <w:r>
              <w:rPr>
                <w:b/>
                <w:color w:val="FFFFFF"/>
                <w:sz w:val="18"/>
              </w:rPr>
              <w:t>中国机构与案例中的观察</w:t>
            </w:r>
          </w:p>
        </w:tc>
        <w:tc>
          <w:tcPr>
            <w:tcW w:type="dxa" w:w="2664"/>
            <w:vAlign w:val="center"/>
            <w:tcMar>
              <w:top w:w="85" w:type="dxa"/>
              <w:left w:w="85" w:type="dxa"/>
              <w:bottom w:w="85" w:type="dxa"/>
              <w:right w:w="85" w:type="dxa"/>
            </w:tcMar>
            <w:shd w:fill="24465B"/>
          </w:tcPr>
          <w:p>
            <w:pPr>
              <w:spacing w:after="20" w:line="276" w:lineRule="auto"/>
            </w:pPr>
            <w:r>
              <w:rPr>
                <w:b/>
                <w:color w:val="FFFFFF"/>
                <w:sz w:val="18"/>
              </w:rPr>
              <w:t>美国机构与案例中的观察</w:t>
            </w:r>
          </w:p>
        </w:tc>
        <w:tc>
          <w:tcPr>
            <w:tcW w:type="dxa" w:w="2808"/>
            <w:vAlign w:val="center"/>
            <w:tcMar>
              <w:top w:w="85" w:type="dxa"/>
              <w:left w:w="85" w:type="dxa"/>
              <w:bottom w:w="85" w:type="dxa"/>
              <w:right w:w="85" w:type="dxa"/>
            </w:tcMar>
            <w:shd w:fill="24465B"/>
          </w:tcPr>
          <w:p>
            <w:pPr>
              <w:spacing w:after="20" w:line="276" w:lineRule="auto"/>
            </w:pPr>
            <w:r>
              <w:rPr>
                <w:b/>
                <w:color w:val="FFFFFF"/>
                <w:sz w:val="18"/>
              </w:rPr>
              <w:t>结论强度</w:t>
            </w:r>
          </w:p>
        </w:tc>
      </w:tr>
      <w:tr>
        <w:trPr>
          <w:cantSplit/>
        </w:trPr>
        <w:tc>
          <w:tcPr>
            <w:tcW w:type="dxa" w:w="1440"/>
            <w:vAlign w:val="center"/>
            <w:tcMar>
              <w:top w:w="85" w:type="dxa"/>
              <w:left w:w="85" w:type="dxa"/>
              <w:bottom w:w="85" w:type="dxa"/>
              <w:right w:w="85" w:type="dxa"/>
            </w:tcMar>
            <w:shd w:fill="FFFFFF"/>
          </w:tcPr>
          <w:p>
            <w:pPr>
              <w:spacing w:after="20" w:line="276" w:lineRule="auto"/>
            </w:pPr>
            <w:r>
              <w:rPr>
                <w:sz w:val="18"/>
              </w:rPr>
              <w:t>生成工具</w:t>
            </w:r>
          </w:p>
        </w:tc>
        <w:tc>
          <w:tcPr>
            <w:tcW w:type="dxa" w:w="2664"/>
            <w:vAlign w:val="center"/>
            <w:tcMar>
              <w:top w:w="85" w:type="dxa"/>
              <w:left w:w="85" w:type="dxa"/>
              <w:bottom w:w="85" w:type="dxa"/>
              <w:right w:w="85" w:type="dxa"/>
            </w:tcMar>
            <w:shd w:fill="FFFFFF"/>
          </w:tcPr>
          <w:p>
            <w:pPr>
              <w:spacing w:after="20" w:line="276" w:lineRule="auto"/>
            </w:pPr>
            <w:r>
              <w:rPr>
                <w:sz w:val="18"/>
              </w:rPr>
              <w:t>Seedance公开多模态参考与长片段能力；可灵有商业化收入披露</w:t>
            </w:r>
          </w:p>
        </w:tc>
        <w:tc>
          <w:tcPr>
            <w:tcW w:type="dxa" w:w="2664"/>
            <w:vAlign w:val="center"/>
            <w:tcMar>
              <w:top w:w="85" w:type="dxa"/>
              <w:left w:w="85" w:type="dxa"/>
              <w:bottom w:w="85" w:type="dxa"/>
              <w:right w:w="85" w:type="dxa"/>
            </w:tcMar>
            <w:shd w:fill="FFFFFF"/>
          </w:tcPr>
          <w:p>
            <w:pPr>
              <w:spacing w:after="20" w:line="276" w:lineRule="auto"/>
            </w:pPr>
            <w:r>
              <w:rPr>
                <w:sz w:val="18"/>
              </w:rPr>
              <w:t>Veo公开参考一致性等功能；Runway有创作者工具与节展生态</w:t>
            </w:r>
          </w:p>
        </w:tc>
        <w:tc>
          <w:tcPr>
            <w:tcW w:type="dxa" w:w="2808"/>
            <w:vAlign w:val="center"/>
            <w:tcMar>
              <w:top w:w="85" w:type="dxa"/>
              <w:left w:w="85" w:type="dxa"/>
              <w:bottom w:w="85" w:type="dxa"/>
              <w:right w:w="85" w:type="dxa"/>
            </w:tcMar>
            <w:shd w:fill="FFFFFF"/>
          </w:tcPr>
          <w:p>
            <w:pPr>
              <w:spacing w:after="20" w:line="276" w:lineRule="auto"/>
            </w:pPr>
            <w:r>
              <w:rPr>
                <w:sz w:val="18"/>
              </w:rPr>
              <w:t>双方均有成熟产品，不能据厂商演示排总名次</w:t>
            </w:r>
          </w:p>
        </w:tc>
      </w:tr>
      <w:tr>
        <w:trPr>
          <w:cantSplit/>
        </w:trPr>
        <w:tc>
          <w:tcPr>
            <w:tcW w:type="dxa" w:w="1440"/>
            <w:vAlign w:val="center"/>
            <w:tcMar>
              <w:top w:w="85" w:type="dxa"/>
              <w:left w:w="85" w:type="dxa"/>
              <w:bottom w:w="85" w:type="dxa"/>
              <w:right w:w="85" w:type="dxa"/>
            </w:tcMar>
            <w:shd w:fill="F2F5F7"/>
          </w:tcPr>
          <w:p>
            <w:pPr>
              <w:spacing w:after="20" w:line="276" w:lineRule="auto"/>
            </w:pPr>
            <w:r>
              <w:rPr>
                <w:sz w:val="18"/>
              </w:rPr>
              <w:t>小团队创作</w:t>
            </w:r>
          </w:p>
        </w:tc>
        <w:tc>
          <w:tcPr>
            <w:tcW w:type="dxa" w:w="2664"/>
            <w:vAlign w:val="center"/>
            <w:tcMar>
              <w:top w:w="85" w:type="dxa"/>
              <w:left w:w="85" w:type="dxa"/>
              <w:bottom w:w="85" w:type="dxa"/>
              <w:right w:w="85" w:type="dxa"/>
            </w:tcMar>
            <w:shd w:fill="F2F5F7"/>
          </w:tcPr>
          <w:p>
            <w:pPr>
              <w:spacing w:after="20" w:line="276" w:lineRule="auto"/>
            </w:pPr>
            <w:r>
              <w:rPr>
                <w:sz w:val="18"/>
              </w:rPr>
              <w:t>上影节让影视创作者与AI创作者配对，形成完整短片与过程记录</w:t>
            </w:r>
          </w:p>
        </w:tc>
        <w:tc>
          <w:tcPr>
            <w:tcW w:type="dxa" w:w="2664"/>
            <w:vAlign w:val="center"/>
            <w:tcMar>
              <w:top w:w="85" w:type="dxa"/>
              <w:left w:w="85" w:type="dxa"/>
              <w:bottom w:w="85" w:type="dxa"/>
              <w:right w:w="85" w:type="dxa"/>
            </w:tcMar>
            <w:shd w:fill="F2F5F7"/>
          </w:tcPr>
          <w:p>
            <w:pPr>
              <w:spacing w:after="20" w:line="276" w:lineRule="auto"/>
            </w:pPr>
            <w:r>
              <w:rPr>
                <w:sz w:val="18"/>
              </w:rPr>
              <w:t>Runway电影节吸纳国际独立创作，提供展示与专业评审</w:t>
            </w:r>
          </w:p>
        </w:tc>
        <w:tc>
          <w:tcPr>
            <w:tcW w:type="dxa" w:w="2808"/>
            <w:vAlign w:val="center"/>
            <w:tcMar>
              <w:top w:w="85" w:type="dxa"/>
              <w:left w:w="85" w:type="dxa"/>
              <w:bottom w:w="85" w:type="dxa"/>
              <w:right w:w="85" w:type="dxa"/>
            </w:tcMar>
            <w:shd w:fill="F2F5F7"/>
          </w:tcPr>
          <w:p>
            <w:pPr>
              <w:spacing w:after="20" w:line="276" w:lineRule="auto"/>
            </w:pPr>
            <w:r>
              <w:rPr>
                <w:sz w:val="18"/>
              </w:rPr>
              <w:t>组织方式可比较，参赛国籍不可混同</w:t>
            </w:r>
          </w:p>
        </w:tc>
      </w:tr>
      <w:tr>
        <w:trPr>
          <w:cantSplit/>
        </w:trPr>
        <w:tc>
          <w:tcPr>
            <w:tcW w:type="dxa" w:w="1440"/>
            <w:vAlign w:val="center"/>
            <w:tcMar>
              <w:top w:w="85" w:type="dxa"/>
              <w:left w:w="85" w:type="dxa"/>
              <w:bottom w:w="85" w:type="dxa"/>
              <w:right w:w="85" w:type="dxa"/>
            </w:tcMar>
            <w:shd w:fill="FFFFFF"/>
          </w:tcPr>
          <w:p>
            <w:pPr>
              <w:spacing w:after="20" w:line="276" w:lineRule="auto"/>
            </w:pPr>
            <w:r>
              <w:rPr>
                <w:sz w:val="18"/>
              </w:rPr>
              <w:t>高控制项目</w:t>
            </w:r>
          </w:p>
        </w:tc>
        <w:tc>
          <w:tcPr>
            <w:tcW w:type="dxa" w:w="2664"/>
            <w:vAlign w:val="center"/>
            <w:tcMar>
              <w:top w:w="85" w:type="dxa"/>
              <w:left w:w="85" w:type="dxa"/>
              <w:bottom w:w="85" w:type="dxa"/>
              <w:right w:w="85" w:type="dxa"/>
            </w:tcMar>
            <w:shd w:fill="FFFFFF"/>
          </w:tcPr>
          <w:p>
            <w:pPr>
              <w:spacing w:after="20" w:line="276" w:lineRule="auto"/>
            </w:pPr>
            <w:r>
              <w:rPr>
                <w:sz w:val="18"/>
              </w:rPr>
              <w:t>本土动画风格、现实题材与历史还原的实践</w:t>
            </w:r>
          </w:p>
        </w:tc>
        <w:tc>
          <w:tcPr>
            <w:tcW w:type="dxa" w:w="2664"/>
            <w:vAlign w:val="center"/>
            <w:tcMar>
              <w:top w:w="85" w:type="dxa"/>
              <w:left w:w="85" w:type="dxa"/>
              <w:bottom w:w="85" w:type="dxa"/>
              <w:right w:w="85" w:type="dxa"/>
            </w:tcMar>
            <w:shd w:fill="FFFFFF"/>
          </w:tcPr>
          <w:p>
            <w:pPr>
              <w:spacing w:after="20" w:line="276" w:lineRule="auto"/>
            </w:pPr>
            <w:r>
              <w:rPr>
                <w:sz w:val="18"/>
              </w:rPr>
              <w:t>手工动画加定制研究、实拍加生成视效的实践</w:t>
            </w:r>
          </w:p>
        </w:tc>
        <w:tc>
          <w:tcPr>
            <w:tcW w:type="dxa" w:w="2808"/>
            <w:vAlign w:val="center"/>
            <w:tcMar>
              <w:top w:w="85" w:type="dxa"/>
              <w:left w:w="85" w:type="dxa"/>
              <w:bottom w:w="85" w:type="dxa"/>
              <w:right w:w="85" w:type="dxa"/>
            </w:tcMar>
            <w:shd w:fill="FFFFFF"/>
          </w:tcPr>
          <w:p>
            <w:pPr>
              <w:spacing w:after="20" w:line="276" w:lineRule="auto"/>
            </w:pPr>
            <w:r>
              <w:rPr>
                <w:sz w:val="18"/>
              </w:rPr>
              <w:t>都需要导演与专业审美判断</w:t>
            </w:r>
          </w:p>
        </w:tc>
      </w:tr>
      <w:tr>
        <w:trPr>
          <w:cantSplit/>
        </w:trPr>
        <w:tc>
          <w:tcPr>
            <w:tcW w:type="dxa" w:w="1440"/>
            <w:vAlign w:val="center"/>
            <w:tcMar>
              <w:top w:w="85" w:type="dxa"/>
              <w:left w:w="85" w:type="dxa"/>
              <w:bottom w:w="85" w:type="dxa"/>
              <w:right w:w="85" w:type="dxa"/>
            </w:tcMar>
            <w:shd w:fill="F2F5F7"/>
          </w:tcPr>
          <w:p>
            <w:pPr>
              <w:spacing w:after="20" w:line="276" w:lineRule="auto"/>
            </w:pPr>
            <w:r>
              <w:rPr>
                <w:sz w:val="18"/>
              </w:rPr>
              <w:t>商业连接</w:t>
            </w:r>
          </w:p>
        </w:tc>
        <w:tc>
          <w:tcPr>
            <w:tcW w:type="dxa" w:w="2664"/>
            <w:vAlign w:val="center"/>
            <w:tcMar>
              <w:top w:w="85" w:type="dxa"/>
              <w:left w:w="85" w:type="dxa"/>
              <w:bottom w:w="85" w:type="dxa"/>
              <w:right w:w="85" w:type="dxa"/>
            </w:tcMar>
            <w:shd w:fill="F2F5F7"/>
          </w:tcPr>
          <w:p>
            <w:pPr>
              <w:spacing w:after="20" w:line="276" w:lineRule="auto"/>
            </w:pPr>
            <w:r>
              <w:rPr>
                <w:sz w:val="18"/>
              </w:rPr>
              <w:t>可灵与短剧平台联动，模型收入可量化</w:t>
            </w:r>
          </w:p>
        </w:tc>
        <w:tc>
          <w:tcPr>
            <w:tcW w:type="dxa" w:w="2664"/>
            <w:vAlign w:val="center"/>
            <w:tcMar>
              <w:top w:w="85" w:type="dxa"/>
              <w:left w:w="85" w:type="dxa"/>
              <w:bottom w:w="85" w:type="dxa"/>
              <w:right w:w="85" w:type="dxa"/>
            </w:tcMar>
            <w:shd w:fill="F2F5F7"/>
          </w:tcPr>
          <w:p>
            <w:pPr>
              <w:spacing w:after="20" w:line="276" w:lineRule="auto"/>
            </w:pPr>
            <w:r>
              <w:rPr>
                <w:sz w:val="18"/>
              </w:rPr>
              <w:t>Google与电影人、机构和研究团队合作</w:t>
            </w:r>
          </w:p>
        </w:tc>
        <w:tc>
          <w:tcPr>
            <w:tcW w:type="dxa" w:w="2808"/>
            <w:vAlign w:val="center"/>
            <w:tcMar>
              <w:top w:w="85" w:type="dxa"/>
              <w:left w:w="85" w:type="dxa"/>
              <w:bottom w:w="85" w:type="dxa"/>
              <w:right w:w="85" w:type="dxa"/>
            </w:tcMar>
            <w:shd w:fill="F2F5F7"/>
          </w:tcPr>
          <w:p>
            <w:pPr>
              <w:spacing w:after="20" w:line="276" w:lineRule="auto"/>
            </w:pPr>
            <w:r>
              <w:rPr>
                <w:sz w:val="18"/>
              </w:rPr>
              <w:t>收入、票房与制作质量是不同指标</w:t>
            </w:r>
          </w:p>
        </w:tc>
      </w:tr>
      <w:tr>
        <w:trPr>
          <w:cantSplit/>
        </w:trPr>
        <w:tc>
          <w:tcPr>
            <w:tcW w:type="dxa" w:w="1440"/>
            <w:vAlign w:val="center"/>
            <w:tcMar>
              <w:top w:w="85" w:type="dxa"/>
              <w:left w:w="85" w:type="dxa"/>
              <w:bottom w:w="85" w:type="dxa"/>
              <w:right w:w="85" w:type="dxa"/>
            </w:tcMar>
            <w:shd w:fill="FFFFFF"/>
          </w:tcPr>
          <w:p>
            <w:pPr>
              <w:spacing w:after="20" w:line="276" w:lineRule="auto"/>
            </w:pPr>
            <w:r>
              <w:rPr>
                <w:sz w:val="18"/>
              </w:rPr>
              <w:t>共同瓶颈</w:t>
            </w:r>
          </w:p>
        </w:tc>
        <w:tc>
          <w:tcPr>
            <w:tcW w:type="dxa" w:w="2664"/>
            <w:vAlign w:val="center"/>
            <w:tcMar>
              <w:top w:w="85" w:type="dxa"/>
              <w:left w:w="85" w:type="dxa"/>
              <w:bottom w:w="85" w:type="dxa"/>
              <w:right w:w="85" w:type="dxa"/>
            </w:tcMar>
            <w:shd w:fill="FFFFFF"/>
          </w:tcPr>
          <w:p>
            <w:pPr>
              <w:spacing w:after="20" w:line="276" w:lineRule="auto"/>
            </w:pPr>
            <w:r>
              <w:rPr>
                <w:sz w:val="18"/>
              </w:rPr>
              <w:t>画风漂移、人物与空间连续、资料准确</w:t>
            </w:r>
          </w:p>
        </w:tc>
        <w:tc>
          <w:tcPr>
            <w:tcW w:type="dxa" w:w="2664"/>
            <w:vAlign w:val="center"/>
            <w:tcMar>
              <w:top w:w="85" w:type="dxa"/>
              <w:left w:w="85" w:type="dxa"/>
              <w:bottom w:w="85" w:type="dxa"/>
              <w:right w:w="85" w:type="dxa"/>
            </w:tcMar>
            <w:shd w:fill="FFFFFF"/>
          </w:tcPr>
          <w:p>
            <w:pPr>
              <w:spacing w:after="20" w:line="276" w:lineRule="auto"/>
            </w:pPr>
            <w:r>
              <w:rPr>
                <w:sz w:val="18"/>
              </w:rPr>
              <w:t>表演节奏、精确动作、风格忠实、局部修正</w:t>
            </w:r>
          </w:p>
        </w:tc>
        <w:tc>
          <w:tcPr>
            <w:tcW w:type="dxa" w:w="2808"/>
            <w:vAlign w:val="center"/>
            <w:tcMar>
              <w:top w:w="85" w:type="dxa"/>
              <w:left w:w="85" w:type="dxa"/>
              <w:bottom w:w="85" w:type="dxa"/>
              <w:right w:w="85" w:type="dxa"/>
            </w:tcMar>
            <w:shd w:fill="FFFFFF"/>
          </w:tcPr>
          <w:p>
            <w:pPr>
              <w:spacing w:after="20" w:line="276" w:lineRule="auto"/>
            </w:pPr>
            <w:r>
              <w:rPr>
                <w:sz w:val="18"/>
              </w:rPr>
              <w:t>能力问题跨地区存在</w:t>
            </w:r>
          </w:p>
        </w:tc>
      </w:tr>
    </w:tbl>
    <w:p>
      <w:pPr>
        <w:spacing w:after="0"/>
      </w:pPr>
    </w:p>
    <w:p>
      <w:pPr>
        <w:pStyle w:val="Heading2"/>
      </w:pPr>
      <w:r>
        <w:t>中国案例能证明什么</w:t>
      </w:r>
    </w:p>
    <w:p>
      <w:r>
        <w:t>上海国际电影节2026年的AI片场提供了比“概念海报”更扎实的生产样本：将传统影视经验与AI操作经验组队，记录制作中的分工、失败和决策。[S07] 《愿力司》显示，本土风格不是写上“东方美学”便会自然得到；稳定角色与场景资产需要前期试验。该项目约一个月完成7分钟动画，团队披露剧本多轮修改和五六十次风格测试。[S06]</w:t>
      </w:r>
    </w:p>
    <w:p>
      <w:r>
        <w:t>上影节同时公布了现实题材《我能》、影像随笔《活下来的碎片》和《机器之心》等作品。[S08] 这说明中国创作并不只有古风奇观和短剧。不过，项目被官方展映仍不足以说明它已形成稳定商业回报。</w:t>
      </w:r>
    </w:p>
    <w:p>
      <w:r>
        <w:t>快手2025年中期业绩披露，可灵2025年第二季度收入超过2.5亿元，并列举其短剧应用。[S18] 这是中国视频生成工具商业化的证据，不是“AI电影票房”，也不能直接与一家美国制作工作室的收入或单片预算比较。</w:t>
      </w:r>
    </w:p>
    <w:p>
      <w:pPr>
        <w:pStyle w:val="Heading2"/>
      </w:pPr>
      <w:r>
        <w:t>美国机构案例能证明什么</w:t>
      </w:r>
    </w:p>
    <w:p>
      <w:r>
        <w:t>《ANCESTRA》结合实拍和Veo生成，Google披露与超过200位传统影视专家及制作人员合作。[S09] 这个案例说明AI能够进入专业流程，也说明它不能被拿来证明“一人代替整个剧组”。人数口径来自合作方公开叙述，不能直接换算成全职人月。</w:t>
      </w:r>
    </w:p>
    <w:p>
      <w:r>
        <w:t>《Dear Upstairs Neighbors》采用艺术家概念设计、模型定制、粗动画驱动和局部修改。[S10] 其价值在于把不可控生成纳入可导演的流程。研究团队特别支持的能力，不应默认普通订阅者都能同样取得。</w:t>
      </w:r>
    </w:p>
    <w:p>
      <w:r>
        <w:t>Runway的2025获奖节目覆盖概念性影像、现实题材和科幻。[S04、S05] 美国平台的国际作品生态与其专业展示渠道是可观察的优势，但这些作品并非全由美国人制作，不能据此评价中美创作者平均水平。</w:t>
      </w:r>
    </w:p>
    <w:p>
      <w:pPr>
        <w:pStyle w:val="Heading2"/>
      </w:pPr>
      <w:r>
        <w:t>对中美差异的判断</w:t>
      </w:r>
    </w:p>
    <w:p>
      <w:r>
        <w:t>可以确认的是：双方都在从“生成能力”转向“创制流程”，而不是一边已经工业化、另一边还只会提示词。当前案例中，中国平台化短内容生产和本土节展试验更容易找到连续的商业与活动材料；美国机构侧更容易找到研究团队深度参与的专业混合制作案例。这可能也受公开资料语言与厂商传播策略影响，不能扩展成全国性定论。</w:t>
      </w:r>
    </w:p>
    <w:p>
      <w:r>
        <w:t>真正值得关注的差异是四个可测量变量：达到同一画面要求所需的重试次数；一次客户修改需要重做的范围；单位成片分钟的总人时；授权清楚、可回溯的资产比例。建议以后用这些指标组织中美工具和团队比较，少用主观的“电影感”总评。</w:t>
      </w:r>
    </w:p>
    <w:p>
      <w:pPr>
        <w:pStyle w:val="Heading1"/>
      </w:pPr>
      <w:r>
        <w:t>四个制作案例的流程启示</w:t>
      </w:r>
    </w:p>
    <w:p>
      <w:pPr>
        <w:pStyle w:val="Heading2"/>
      </w:pPr>
      <w:r>
        <w:t>愿力司</w:t>
      </w:r>
    </w:p>
    <w:p>
      <w:r>
        <w:t>制作材料披露的顺序是：讨论并多轮修改剧本，开展大量风格试验，稳定人物与场景资产，再边生成边剪辑，最后配音、混音、调色。[S06] 本报告的应用建议是，先冻结视觉基准再扩产。若主角第一个近景和第十个近景不能像同一人，继续生成只会扩大返工。</w:t>
      </w:r>
    </w:p>
    <w:p>
      <w:pPr>
        <w:pStyle w:val="Heading2"/>
      </w:pPr>
      <w:r>
        <w:t>Dear Upstairs Neighbors</w:t>
      </w:r>
    </w:p>
    <w:p>
      <w:r>
        <w:t>主创用手工动画传达文字难以限定的节奏与表演，再以定制模型转成目标画风，逐镜审阅并局部修复。[S10] 对普通团队可借鉴的是“先给运动答案，再让模型处理外观”，而不是假设自己拥有同样的研究级定制工具。简单二维动作、低精度三维预演、首尾姿态和眼线图都能先解决意图表达。</w:t>
      </w:r>
    </w:p>
    <w:p>
      <w:pPr>
        <w:pStyle w:val="Heading2"/>
      </w:pPr>
      <w:r>
        <w:t>THE BREACH</w:t>
      </w:r>
    </w:p>
    <w:p>
      <w:r>
        <w:t>Sileent自述在生成画面前写了15稿剧本，并通过受控构图、单镜运镜和参考材料指导制作；团队将克制的静止表演视为难点。[S16] 这是创作者自述，不是本报告检查过全部生成历史后的结论。可借鉴之处是，把复杂故事压缩为一个有冲突的关系和少数可控空间，而不是把大场面数量当作进度。</w:t>
      </w:r>
    </w:p>
    <w:p>
      <w:pPr>
        <w:pStyle w:val="Heading2"/>
      </w:pPr>
      <w:r>
        <w:t>Kindred</w:t>
      </w:r>
    </w:p>
    <w:p>
      <w:r>
        <w:t>导演受访称视频生成持续约两至三周，生成期间同步剪辑与配乐，锁画后声音设计、混音和母带处理又用了四天。[S17] 这揭示了常被忽略的后期工期。本报告建议从第一版动态分镜就放入临时声音，最终仍为正式声音制作留出独立时间。</w:t>
      </w:r>
    </w:p>
    <w:p>
      <w:pPr>
        <w:pStyle w:val="Heading1"/>
      </w:pPr>
      <w:r>
        <w:t>达到参赛完成度的制作流程</w:t>
      </w:r>
    </w:p>
    <w:p>
      <w:r>
        <w:t>下列流程是基于案例形成的制作建议，适用于3—5分钟叙事短片。它不保证入围或获奖。若目标赛事规则与本届不同，按其实际限制调整素材和工具路径。</w:t>
      </w:r>
    </w:p>
    <w:p>
      <w:pPr>
        <w:pStyle w:val="Heading2"/>
      </w:pPr>
      <w:r>
        <w:t>阶段一 立项与最小故事</w:t>
      </w:r>
    </w:p>
    <w:p>
      <w:r>
        <w:t>先写一句话梗概：谁想得到什么，是什么阻止他，他最终付出什么代价。随后写300—500字故事概要，限定主人公、冲突和转折。每个场景都要改变一个状态：信息、关系、风险或选择。若删去一个场景对后续没有影响，应考虑删去它。</w:t>
      </w:r>
    </w:p>
    <w:p>
      <w:r>
        <w:t>交付：一页创作简报、梗概、结尾、目标时长、人物和场景上限、赛事约束。内部通过门槛：三名未参与创作的人读后，至少两人能说出主人公的目标、转折和结局；说不清就先改故事。</w:t>
      </w:r>
    </w:p>
    <w:p>
      <w:pPr>
        <w:pStyle w:val="Heading2"/>
      </w:pPr>
      <w:r>
        <w:t>阶段二 剧本与声音草稿</w:t>
      </w:r>
    </w:p>
    <w:p>
      <w:r>
        <w:t>写出动作、台词、停顿和声音事件。不要让旁白承担所有画面本应完成的表达。把“他很悲伤”改成可拍的行为，例如想拨电话却停下、收回手、把物件放回原处。AI也需要具体表演目标。</w:t>
      </w:r>
    </w:p>
    <w:p>
      <w:r>
        <w:t>交付：剧本版本、每场戏的情绪起终点、台词草稿与临时音轨。内部通过门槛：只听台词不出现难以理解的解释堆积；只看分镜仍能看懂关键行动。两种检查针对不同问题，不要求所有电影都能静音完整理解。</w:t>
      </w:r>
    </w:p>
    <w:p>
      <w:pPr>
        <w:pStyle w:val="Heading2"/>
      </w:pPr>
      <w:r>
        <w:t>阶段三 美术与资产基准</w:t>
      </w:r>
    </w:p>
    <w:p>
      <w:r>
        <w:t>为主角建立正面、侧面、背面、不同表情和常用光照下的参考图，确定衣服、关键道具和尺寸关系。场景至少包含空间平面关系、出入口、光源方向和几处反打视角。先生成一组连续镜头测试，不只批准单张最好看的立绘。</w:t>
      </w:r>
    </w:p>
    <w:p>
      <w:r>
        <w:t>交付：角色表、服装及道具表、场景表、色彩与镜头参考、禁止漂移项。内部通过门槛：相邻镜头中的主角、衣服与关键道具能被无提示识别；画风测试通过后记录批准版本，后续变更必须说明影响镜头。</w:t>
      </w:r>
    </w:p>
    <w:p>
      <w:pPr>
        <w:pStyle w:val="Heading2"/>
      </w:pPr>
      <w:r>
        <w:t>阶段四 风险镜头试制</w:t>
      </w:r>
    </w:p>
    <w:p>
      <w:r>
        <w:t>先做最难的三类镜头：有人物情绪变化的近景、手与物体接触、两人同框互动。具体题材可替换为剑与身体接触、车辆转弯或复杂空间调度。每类采用固定参考和固定预算，记录通过、失败原因与重试次数。</w:t>
      </w:r>
    </w:p>
    <w:p>
      <w:r>
        <w:t>交付：一段20—40秒的试片、风险清单及替代方案。若多次尝试仍不稳定，改机位、拆动作、减少同时运动物体，或在允许的赛事采用传统动画与合成。不要将不可控镜头留到最后一天。</w:t>
      </w:r>
    </w:p>
    <w:p>
      <w:pPr>
        <w:pStyle w:val="Heading2"/>
      </w:pPr>
      <w:r>
        <w:t>阶段五 动态分镜</w:t>
      </w:r>
    </w:p>
    <w:p>
      <w:r>
        <w:t>将分镜图、临时台词与音乐放进剪辑时间线，给出真实时长。检查空间方向、人物视线、动作衔接和节奏。全片先有粗糙但可看完的版本，比先拥有二十个漂亮却无法相接的镜头更能暴露问题。</w:t>
      </w:r>
    </w:p>
    <w:p>
      <w:r>
        <w:t>交付：完整动态分镜、镜头清单、声音草稿。内部通过门槛：全片因果和情绪顺序成立，关键转折无需主创现场解释。此后新增场景应说明要解决什么问题以及要替换哪些旧内容。</w:t>
      </w:r>
    </w:p>
    <w:p>
      <w:pPr>
        <w:pStyle w:val="Heading2"/>
      </w:pPr>
      <w:r>
        <w:t>阶段六 按场景生成与即时剪辑</w:t>
      </w:r>
    </w:p>
    <w:p>
      <w:r>
        <w:t>按场景批次生成，使同一服装、环境、光照和模型设置集中管理。每个镜头保留适量前后余量，便于剪辑。主提示词描述主体、动作、机位、运动和节奏；不同模型的负向提示机制不同，不直接照搬另一模型的写法。[S13]</w:t>
      </w:r>
    </w:p>
    <w:p>
      <w:r>
        <w:t>每生成一批即放入时间线，标记“可采用”“需修复”“需重做”。采用判定要看它能不能接前后镜头，而不是只看单镜头。连续失败达到预设次数就升级给导演改方案，避免无目标地继续尝试。</w:t>
      </w:r>
    </w:p>
    <w:p>
      <w:pPr>
        <w:pStyle w:val="Heading2"/>
      </w:pPr>
      <w:r>
        <w:t>阶段七 连续性与局部修正</w:t>
      </w:r>
    </w:p>
    <w:p>
      <w:r>
        <w:t>把问题分成叙事、表演、连续性、图像瑕疵和技术交付五类。先修影响理解和情绪的问题，再修局部美观。能剪短解决的先试剪辑，能局部合成解决的再试修补；只有结构性错误才整镜重生。</w:t>
      </w:r>
    </w:p>
    <w:p>
      <w:r>
        <w:t>交付：逐镜问题表、修正前后版本、批准记录。内部通过门槛：所有影响叙事的严重错误清零；不能修完的镜头必须替换或删去，不能靠片尾解释。</w:t>
      </w:r>
    </w:p>
    <w:p>
      <w:pPr>
        <w:pStyle w:val="Heading2"/>
      </w:pPr>
      <w:r>
        <w:t>阶段八 声音与锁画</w:t>
      </w:r>
    </w:p>
    <w:p>
      <w:r>
        <w:t>先保证对话清楚，再建立场景底噪、动作音、空间混响与音乐。脚步、开门和物体接触要与画面同步，跨镜头的环境声不应无故消失。声音要有层次，不能靠全程高强度音乐填满每一秒。</w:t>
      </w:r>
    </w:p>
    <w:p>
      <w:r>
        <w:t>交付：锁画版、对白/效果/音乐分轨、混音版。内部通过门槛：戴耳机和普通扬声器各看一遍，低音量仍能听清关键台词；没有非意图的削波、静音、左右声道失衡。具体响度与编码按提交平台要求选择，不把网络平台建议套成影院规范。</w:t>
      </w:r>
    </w:p>
    <w:p>
      <w:pPr>
        <w:pStyle w:val="Heading2"/>
      </w:pPr>
      <w:r>
        <w:t>阶段九 字幕与交付</w:t>
      </w:r>
    </w:p>
    <w:p>
      <w:r>
        <w:t>统一时间线帧率和画面尺寸，在最终锁画版上制作字幕；人工核对专有名词、说话人、断句和时间轴。检查黑场、片头片尾、字幕安全区、音画同步和官方标识。4K放大不会修复错误的手指、叙事或表演。</w:t>
      </w:r>
    </w:p>
    <w:p>
      <w:r>
        <w:t>交付：符合赛事要求的成片、字幕、封面、简介、主创名单和制作说明。提交前完整播放最终导出文件，不能只验证剪辑软件内的时间线。上传后再检查平台是否截断、重压缩或丢失声音。</w:t>
      </w:r>
    </w:p>
    <w:p>
      <w:pPr>
        <w:pStyle w:val="Heading2"/>
      </w:pPr>
      <w:r>
        <w:t>阶段十 归档与复盘</w:t>
      </w:r>
    </w:p>
    <w:p>
      <w:r>
        <w:t>每个最终镜头能追溯到素材、参考、模型版本、生成时间、采用的区间及修改记录。保留失败素材的原因摘要，这比只保存成功提示词更有复用价值。复盘时统计每类镜头的通过率、人工修复分钟数、总支出和返工原因。</w:t>
      </w:r>
    </w:p>
    <w:p>
      <w:r>
        <w:t>在项目交付后冻结最终版及哈希，不让“final2”“final最新”成为唯一版本控制。下一部片应复用资产结构、镜头类型经验和质量检查表，而不是机械复用上一部的故事与画风。</w:t>
      </w:r>
    </w:p>
    <w:p>
      <w:pPr>
        <w:pStyle w:val="Heading1"/>
      </w:pPr>
      <w:r>
        <w:t>一个可执行的四周试制安排</w:t>
      </w:r>
    </w:p>
    <w:p>
      <w:r>
        <w:t>以下是项目规划假设，适合有基础剪辑能力的2—4人团队制作3—5分钟作品；不是行业平均工期，也不是对本届已截止赛事的补投安排。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3312"/>
        <w:gridCol w:w="4176"/>
      </w:tblGrid>
      <w:tr>
        <w:trPr>
          <w:cantSplit/>
          <w:tblHeader/>
        </w:trPr>
        <w:tc>
          <w:tcPr>
            <w:tcW w:type="dxa" w:w="2088"/>
            <w:vAlign w:val="center"/>
            <w:tcMar>
              <w:top w:w="85" w:type="dxa"/>
              <w:left w:w="85" w:type="dxa"/>
              <w:bottom w:w="85" w:type="dxa"/>
              <w:right w:w="85" w:type="dxa"/>
            </w:tcMar>
            <w:shd w:fill="24465B"/>
          </w:tcPr>
          <w:p>
            <w:pPr>
              <w:spacing w:after="20" w:line="276" w:lineRule="auto"/>
            </w:pPr>
            <w:r>
              <w:rPr>
                <w:b/>
                <w:color w:val="FFFFFF"/>
                <w:sz w:val="18"/>
              </w:rPr>
              <w:t>时间</w:t>
            </w:r>
          </w:p>
        </w:tc>
        <w:tc>
          <w:tcPr>
            <w:tcW w:type="dxa" w:w="3312"/>
            <w:vAlign w:val="center"/>
            <w:tcMar>
              <w:top w:w="85" w:type="dxa"/>
              <w:left w:w="85" w:type="dxa"/>
              <w:bottom w:w="85" w:type="dxa"/>
              <w:right w:w="85" w:type="dxa"/>
            </w:tcMar>
            <w:shd w:fill="24465B"/>
          </w:tcPr>
          <w:p>
            <w:pPr>
              <w:spacing w:after="20" w:line="276" w:lineRule="auto"/>
            </w:pPr>
            <w:r>
              <w:rPr>
                <w:b/>
                <w:color w:val="FFFFFF"/>
                <w:sz w:val="18"/>
              </w:rPr>
              <w:t>工作及责任</w:t>
            </w:r>
          </w:p>
        </w:tc>
        <w:tc>
          <w:tcPr>
            <w:tcW w:type="dxa" w:w="4176"/>
            <w:vAlign w:val="center"/>
            <w:tcMar>
              <w:top w:w="85" w:type="dxa"/>
              <w:left w:w="85" w:type="dxa"/>
              <w:bottom w:w="85" w:type="dxa"/>
              <w:right w:w="85" w:type="dxa"/>
            </w:tcMar>
            <w:shd w:fill="24465B"/>
          </w:tcPr>
          <w:p>
            <w:pPr>
              <w:spacing w:after="20" w:line="276" w:lineRule="auto"/>
            </w:pPr>
            <w:r>
              <w:rPr>
                <w:b/>
                <w:color w:val="FFFFFF"/>
                <w:sz w:val="18"/>
              </w:rPr>
              <w:t>周末必须出现的成果</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第1周</w:t>
            </w:r>
          </w:p>
        </w:tc>
        <w:tc>
          <w:tcPr>
            <w:tcW w:type="dxa" w:w="3312"/>
            <w:vAlign w:val="center"/>
            <w:tcMar>
              <w:top w:w="85" w:type="dxa"/>
              <w:left w:w="85" w:type="dxa"/>
              <w:bottom w:w="85" w:type="dxa"/>
              <w:right w:w="85" w:type="dxa"/>
            </w:tcMar>
            <w:shd w:fill="FFFFFF"/>
          </w:tcPr>
          <w:p>
            <w:pPr>
              <w:spacing w:after="20" w:line="276" w:lineRule="auto"/>
            </w:pPr>
            <w:r>
              <w:rPr>
                <w:sz w:val="18"/>
              </w:rPr>
              <w:t>导演编剧锁定故事；美术与生成负责人开展资产和难镜试验</w:t>
            </w:r>
          </w:p>
        </w:tc>
        <w:tc>
          <w:tcPr>
            <w:tcW w:type="dxa" w:w="4176"/>
            <w:vAlign w:val="center"/>
            <w:tcMar>
              <w:top w:w="85" w:type="dxa"/>
              <w:left w:w="85" w:type="dxa"/>
              <w:bottom w:w="85" w:type="dxa"/>
              <w:right w:w="85" w:type="dxa"/>
            </w:tcMar>
            <w:shd w:fill="FFFFFF"/>
          </w:tcPr>
          <w:p>
            <w:pPr>
              <w:spacing w:after="20" w:line="276" w:lineRule="auto"/>
            </w:pPr>
            <w:r>
              <w:rPr>
                <w:sz w:val="18"/>
              </w:rPr>
              <w:t>剧本、视觉基准、20—40秒试片、风险镜头替代方案</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第2周</w:t>
            </w:r>
          </w:p>
        </w:tc>
        <w:tc>
          <w:tcPr>
            <w:tcW w:type="dxa" w:w="3312"/>
            <w:vAlign w:val="center"/>
            <w:tcMar>
              <w:top w:w="85" w:type="dxa"/>
              <w:left w:w="85" w:type="dxa"/>
              <w:bottom w:w="85" w:type="dxa"/>
              <w:right w:w="85" w:type="dxa"/>
            </w:tcMar>
            <w:shd w:fill="F2F5F7"/>
          </w:tcPr>
          <w:p>
            <w:pPr>
              <w:spacing w:after="20" w:line="276" w:lineRule="auto"/>
            </w:pPr>
            <w:r>
              <w:rPr>
                <w:sz w:val="18"/>
              </w:rPr>
              <w:t>导演与剪辑完成动态分镜；生成负责人生产第一批镜头</w:t>
            </w:r>
          </w:p>
        </w:tc>
        <w:tc>
          <w:tcPr>
            <w:tcW w:type="dxa" w:w="4176"/>
            <w:vAlign w:val="center"/>
            <w:tcMar>
              <w:top w:w="85" w:type="dxa"/>
              <w:left w:w="85" w:type="dxa"/>
              <w:bottom w:w="85" w:type="dxa"/>
              <w:right w:w="85" w:type="dxa"/>
            </w:tcMar>
            <w:shd w:fill="F2F5F7"/>
          </w:tcPr>
          <w:p>
            <w:pPr>
              <w:spacing w:after="20" w:line="276" w:lineRule="auto"/>
            </w:pPr>
            <w:r>
              <w:rPr>
                <w:sz w:val="18"/>
              </w:rPr>
              <w:t>全片动态分镜和可连续观看的粗剪，不追求所有镜头精修</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第3周</w:t>
            </w:r>
          </w:p>
        </w:tc>
        <w:tc>
          <w:tcPr>
            <w:tcW w:type="dxa" w:w="3312"/>
            <w:vAlign w:val="center"/>
            <w:tcMar>
              <w:top w:w="85" w:type="dxa"/>
              <w:left w:w="85" w:type="dxa"/>
              <w:bottom w:w="85" w:type="dxa"/>
              <w:right w:w="85" w:type="dxa"/>
            </w:tcMar>
            <w:shd w:fill="FFFFFF"/>
          </w:tcPr>
          <w:p>
            <w:pPr>
              <w:spacing w:after="20" w:line="276" w:lineRule="auto"/>
            </w:pPr>
            <w:r>
              <w:rPr>
                <w:sz w:val="18"/>
              </w:rPr>
              <w:t>完成主体镜头；导演逐日看片；剪辑记录补镜需求</w:t>
            </w:r>
          </w:p>
        </w:tc>
        <w:tc>
          <w:tcPr>
            <w:tcW w:type="dxa" w:w="4176"/>
            <w:vAlign w:val="center"/>
            <w:tcMar>
              <w:top w:w="85" w:type="dxa"/>
              <w:left w:w="85" w:type="dxa"/>
              <w:bottom w:w="85" w:type="dxa"/>
              <w:right w:w="85" w:type="dxa"/>
            </w:tcMar>
            <w:shd w:fill="FFFFFF"/>
          </w:tcPr>
          <w:p>
            <w:pPr>
              <w:spacing w:after="20" w:line="276" w:lineRule="auto"/>
            </w:pPr>
            <w:r>
              <w:rPr>
                <w:sz w:val="18"/>
              </w:rPr>
              <w:t>全片精剪，叙事与连续性严重问题清零</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第4周</w:t>
            </w:r>
          </w:p>
        </w:tc>
        <w:tc>
          <w:tcPr>
            <w:tcW w:type="dxa" w:w="3312"/>
            <w:vAlign w:val="center"/>
            <w:tcMar>
              <w:top w:w="85" w:type="dxa"/>
              <w:left w:w="85" w:type="dxa"/>
              <w:bottom w:w="85" w:type="dxa"/>
              <w:right w:w="85" w:type="dxa"/>
            </w:tcMar>
            <w:shd w:fill="F2F5F7"/>
          </w:tcPr>
          <w:p>
            <w:pPr>
              <w:spacing w:after="20" w:line="276" w:lineRule="auto"/>
            </w:pPr>
            <w:r>
              <w:rPr>
                <w:sz w:val="18"/>
              </w:rPr>
              <w:t>锁画、声音、调色、字幕、三轮终验和归档</w:t>
            </w:r>
          </w:p>
        </w:tc>
        <w:tc>
          <w:tcPr>
            <w:tcW w:type="dxa" w:w="4176"/>
            <w:vAlign w:val="center"/>
            <w:tcMar>
              <w:top w:w="85" w:type="dxa"/>
              <w:left w:w="85" w:type="dxa"/>
              <w:bottom w:w="85" w:type="dxa"/>
              <w:right w:w="85" w:type="dxa"/>
            </w:tcMar>
            <w:shd w:fill="F2F5F7"/>
          </w:tcPr>
          <w:p>
            <w:pPr>
              <w:spacing w:after="20" w:line="276" w:lineRule="auto"/>
            </w:pPr>
            <w:r>
              <w:rPr>
                <w:sz w:val="18"/>
              </w:rPr>
              <w:t>完整交付包及复盘数据</w:t>
            </w:r>
          </w:p>
        </w:tc>
      </w:tr>
    </w:tbl>
    <w:p>
      <w:pPr>
        <w:spacing w:after="0"/>
      </w:pPr>
    </w:p>
    <w:p>
      <w:r>
        <w:t>四个职责分别是：导演/编剧把握故事和批准镜头；美术/生成负责人管理资产及模型；剪辑/合成负责人连接镜头和修复画面；声音/制片负责人管理声音、版本与交付。两人团队可以兼任，但每天应有一个明确的最终批准人，避免多人各自优化单镜头而破坏全片。</w:t>
      </w:r>
    </w:p>
    <w:p>
      <w:r>
        <w:t>每天保留固定看片时间，先看时间线，后看孤立素材。用“今天让哪一段故事成立”衡量进度，而不仅是“今天生成多少条视频”。</w:t>
      </w:r>
    </w:p>
    <w:p>
      <w:pPr>
        <w:pStyle w:val="Heading1"/>
      </w:pPr>
      <w:r>
        <w:t>成本估算与停止重试的规则</w:t>
      </w:r>
    </w:p>
    <w:p>
      <w:pPr>
        <w:pStyle w:val="Heading2"/>
      </w:pPr>
      <w:r>
        <w:t>透明预算模型</w:t>
      </w:r>
    </w:p>
    <w:p>
      <w:r>
        <w:t>以4分钟、平均采用镜头5秒为例，需要约48个镜头。若每次生成8秒，每镜尝试4次，总生成量为1536秒，是成片的6.4倍；每镜尝试8次则为3072秒，是12.8倍。这里的4次和8次是用于规划的假设，不是样本实测。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2664"/>
        <w:gridCol w:w="2664"/>
        <w:gridCol w:w="2808"/>
      </w:tblGrid>
      <w:tr>
        <w:trPr>
          <w:cantSplit/>
          <w:tblHeader/>
        </w:trPr>
        <w:tc>
          <w:tcPr>
            <w:tcW w:type="dxa" w:w="1440"/>
            <w:vAlign w:val="center"/>
            <w:tcMar>
              <w:top w:w="85" w:type="dxa"/>
              <w:left w:w="85" w:type="dxa"/>
              <w:bottom w:w="85" w:type="dxa"/>
              <w:right w:w="85" w:type="dxa"/>
            </w:tcMar>
            <w:shd w:fill="24465B"/>
          </w:tcPr>
          <w:p>
            <w:pPr>
              <w:spacing w:after="20" w:line="276" w:lineRule="auto"/>
            </w:pPr>
            <w:r>
              <w:rPr>
                <w:b/>
                <w:color w:val="FFFFFF"/>
                <w:sz w:val="18"/>
              </w:rPr>
              <w:t>情景</w:t>
            </w:r>
          </w:p>
        </w:tc>
        <w:tc>
          <w:tcPr>
            <w:tcW w:type="dxa" w:w="2664"/>
            <w:vAlign w:val="center"/>
            <w:tcMar>
              <w:top w:w="85" w:type="dxa"/>
              <w:left w:w="85" w:type="dxa"/>
              <w:bottom w:w="85" w:type="dxa"/>
              <w:right w:w="85" w:type="dxa"/>
            </w:tcMar>
            <w:shd w:fill="24465B"/>
          </w:tcPr>
          <w:p>
            <w:pPr>
              <w:spacing w:after="20" w:line="276" w:lineRule="auto"/>
            </w:pPr>
            <w:r>
              <w:rPr>
                <w:b/>
                <w:color w:val="FFFFFF"/>
                <w:sz w:val="18"/>
              </w:rPr>
              <w:t>每镜尝试</w:t>
            </w:r>
          </w:p>
        </w:tc>
        <w:tc>
          <w:tcPr>
            <w:tcW w:type="dxa" w:w="2664"/>
            <w:vAlign w:val="center"/>
            <w:tcMar>
              <w:top w:w="85" w:type="dxa"/>
              <w:left w:w="85" w:type="dxa"/>
              <w:bottom w:w="85" w:type="dxa"/>
              <w:right w:w="85" w:type="dxa"/>
            </w:tcMar>
            <w:shd w:fill="24465B"/>
          </w:tcPr>
          <w:p>
            <w:pPr>
              <w:spacing w:after="20" w:line="276" w:lineRule="auto"/>
            </w:pPr>
            <w:r>
              <w:rPr>
                <w:b/>
                <w:color w:val="FFFFFF"/>
                <w:sz w:val="18"/>
              </w:rPr>
              <w:t>单次假设价格</w:t>
            </w:r>
          </w:p>
        </w:tc>
        <w:tc>
          <w:tcPr>
            <w:tcW w:type="dxa" w:w="2808"/>
            <w:vAlign w:val="center"/>
            <w:tcMar>
              <w:top w:w="85" w:type="dxa"/>
              <w:left w:w="85" w:type="dxa"/>
              <w:bottom w:w="85" w:type="dxa"/>
              <w:right w:w="85" w:type="dxa"/>
            </w:tcMar>
            <w:shd w:fill="24465B"/>
          </w:tcPr>
          <w:p>
            <w:pPr>
              <w:spacing w:after="20" w:line="276" w:lineRule="auto"/>
            </w:pPr>
            <w:r>
              <w:rPr>
                <w:b/>
                <w:color w:val="FFFFFF"/>
                <w:sz w:val="18"/>
              </w:rPr>
              <w:t>仅视频生成费用</w:t>
            </w:r>
          </w:p>
        </w:tc>
      </w:tr>
      <w:tr>
        <w:trPr>
          <w:cantSplit/>
        </w:trPr>
        <w:tc>
          <w:tcPr>
            <w:tcW w:type="dxa" w:w="1440"/>
            <w:vAlign w:val="center"/>
            <w:tcMar>
              <w:top w:w="85" w:type="dxa"/>
              <w:left w:w="85" w:type="dxa"/>
              <w:bottom w:w="85" w:type="dxa"/>
              <w:right w:w="85" w:type="dxa"/>
            </w:tcMar>
            <w:shd w:fill="FFFFFF"/>
          </w:tcPr>
          <w:p>
            <w:pPr>
              <w:spacing w:after="20" w:line="276" w:lineRule="auto"/>
            </w:pPr>
            <w:r>
              <w:rPr>
                <w:sz w:val="18"/>
              </w:rPr>
              <w:t>A</w:t>
            </w:r>
          </w:p>
        </w:tc>
        <w:tc>
          <w:tcPr>
            <w:tcW w:type="dxa" w:w="2664"/>
            <w:vAlign w:val="center"/>
            <w:tcMar>
              <w:top w:w="85" w:type="dxa"/>
              <w:left w:w="85" w:type="dxa"/>
              <w:bottom w:w="85" w:type="dxa"/>
              <w:right w:w="85" w:type="dxa"/>
            </w:tcMar>
            <w:shd w:fill="FFFFFF"/>
          </w:tcPr>
          <w:p>
            <w:pPr>
              <w:spacing w:after="20" w:line="276" w:lineRule="auto"/>
            </w:pPr>
            <w:r>
              <w:rPr>
                <w:sz w:val="18"/>
              </w:rPr>
              <w:t>4次</w:t>
            </w:r>
          </w:p>
        </w:tc>
        <w:tc>
          <w:tcPr>
            <w:tcW w:type="dxa" w:w="2664"/>
            <w:vAlign w:val="center"/>
            <w:tcMar>
              <w:top w:w="85" w:type="dxa"/>
              <w:left w:w="85" w:type="dxa"/>
              <w:bottom w:w="85" w:type="dxa"/>
              <w:right w:w="85" w:type="dxa"/>
            </w:tcMar>
            <w:shd w:fill="FFFFFF"/>
          </w:tcPr>
          <w:p>
            <w:pPr>
              <w:spacing w:after="20" w:line="276" w:lineRule="auto"/>
            </w:pPr>
            <w:r>
              <w:rPr>
                <w:sz w:val="18"/>
              </w:rPr>
              <w:t>1美元</w:t>
            </w:r>
          </w:p>
        </w:tc>
        <w:tc>
          <w:tcPr>
            <w:tcW w:type="dxa" w:w="2808"/>
            <w:vAlign w:val="center"/>
            <w:tcMar>
              <w:top w:w="85" w:type="dxa"/>
              <w:left w:w="85" w:type="dxa"/>
              <w:bottom w:w="85" w:type="dxa"/>
              <w:right w:w="85" w:type="dxa"/>
            </w:tcMar>
            <w:shd w:fill="FFFFFF"/>
          </w:tcPr>
          <w:p>
            <w:pPr>
              <w:spacing w:after="20" w:line="276" w:lineRule="auto"/>
            </w:pPr>
            <w:r>
              <w:rPr>
                <w:sz w:val="18"/>
              </w:rPr>
              <w:t>192美元</w:t>
            </w:r>
          </w:p>
        </w:tc>
      </w:tr>
      <w:tr>
        <w:trPr>
          <w:cantSplit/>
        </w:trPr>
        <w:tc>
          <w:tcPr>
            <w:tcW w:type="dxa" w:w="1440"/>
            <w:vAlign w:val="center"/>
            <w:tcMar>
              <w:top w:w="85" w:type="dxa"/>
              <w:left w:w="85" w:type="dxa"/>
              <w:bottom w:w="85" w:type="dxa"/>
              <w:right w:w="85" w:type="dxa"/>
            </w:tcMar>
            <w:shd w:fill="F2F5F7"/>
          </w:tcPr>
          <w:p>
            <w:pPr>
              <w:spacing w:after="20" w:line="276" w:lineRule="auto"/>
            </w:pPr>
            <w:r>
              <w:rPr>
                <w:sz w:val="18"/>
              </w:rPr>
              <w:t>B</w:t>
            </w:r>
          </w:p>
        </w:tc>
        <w:tc>
          <w:tcPr>
            <w:tcW w:type="dxa" w:w="2664"/>
            <w:vAlign w:val="center"/>
            <w:tcMar>
              <w:top w:w="85" w:type="dxa"/>
              <w:left w:w="85" w:type="dxa"/>
              <w:bottom w:w="85" w:type="dxa"/>
              <w:right w:w="85" w:type="dxa"/>
            </w:tcMar>
            <w:shd w:fill="F2F5F7"/>
          </w:tcPr>
          <w:p>
            <w:pPr>
              <w:spacing w:after="20" w:line="276" w:lineRule="auto"/>
            </w:pPr>
            <w:r>
              <w:rPr>
                <w:sz w:val="18"/>
              </w:rPr>
              <w:t>4次</w:t>
            </w:r>
          </w:p>
        </w:tc>
        <w:tc>
          <w:tcPr>
            <w:tcW w:type="dxa" w:w="2664"/>
            <w:vAlign w:val="center"/>
            <w:tcMar>
              <w:top w:w="85" w:type="dxa"/>
              <w:left w:w="85" w:type="dxa"/>
              <w:bottom w:w="85" w:type="dxa"/>
              <w:right w:w="85" w:type="dxa"/>
            </w:tcMar>
            <w:shd w:fill="F2F5F7"/>
          </w:tcPr>
          <w:p>
            <w:pPr>
              <w:spacing w:after="20" w:line="276" w:lineRule="auto"/>
            </w:pPr>
            <w:r>
              <w:rPr>
                <w:sz w:val="18"/>
              </w:rPr>
              <w:t>3美元</w:t>
            </w:r>
          </w:p>
        </w:tc>
        <w:tc>
          <w:tcPr>
            <w:tcW w:type="dxa" w:w="2808"/>
            <w:vAlign w:val="center"/>
            <w:tcMar>
              <w:top w:w="85" w:type="dxa"/>
              <w:left w:w="85" w:type="dxa"/>
              <w:bottom w:w="85" w:type="dxa"/>
              <w:right w:w="85" w:type="dxa"/>
            </w:tcMar>
            <w:shd w:fill="F2F5F7"/>
          </w:tcPr>
          <w:p>
            <w:pPr>
              <w:spacing w:after="20" w:line="276" w:lineRule="auto"/>
            </w:pPr>
            <w:r>
              <w:rPr>
                <w:sz w:val="18"/>
              </w:rPr>
              <w:t>576美元</w:t>
            </w:r>
          </w:p>
        </w:tc>
      </w:tr>
      <w:tr>
        <w:trPr>
          <w:cantSplit/>
        </w:trPr>
        <w:tc>
          <w:tcPr>
            <w:tcW w:type="dxa" w:w="1440"/>
            <w:vAlign w:val="center"/>
            <w:tcMar>
              <w:top w:w="85" w:type="dxa"/>
              <w:left w:w="85" w:type="dxa"/>
              <w:bottom w:w="85" w:type="dxa"/>
              <w:right w:w="85" w:type="dxa"/>
            </w:tcMar>
            <w:shd w:fill="FFFFFF"/>
          </w:tcPr>
          <w:p>
            <w:pPr>
              <w:spacing w:after="20" w:line="276" w:lineRule="auto"/>
            </w:pPr>
            <w:r>
              <w:rPr>
                <w:sz w:val="18"/>
              </w:rPr>
              <w:t>C</w:t>
            </w:r>
          </w:p>
        </w:tc>
        <w:tc>
          <w:tcPr>
            <w:tcW w:type="dxa" w:w="2664"/>
            <w:vAlign w:val="center"/>
            <w:tcMar>
              <w:top w:w="85" w:type="dxa"/>
              <w:left w:w="85" w:type="dxa"/>
              <w:bottom w:w="85" w:type="dxa"/>
              <w:right w:w="85" w:type="dxa"/>
            </w:tcMar>
            <w:shd w:fill="FFFFFF"/>
          </w:tcPr>
          <w:p>
            <w:pPr>
              <w:spacing w:after="20" w:line="276" w:lineRule="auto"/>
            </w:pPr>
            <w:r>
              <w:rPr>
                <w:sz w:val="18"/>
              </w:rPr>
              <w:t>8次</w:t>
            </w:r>
          </w:p>
        </w:tc>
        <w:tc>
          <w:tcPr>
            <w:tcW w:type="dxa" w:w="2664"/>
            <w:vAlign w:val="center"/>
            <w:tcMar>
              <w:top w:w="85" w:type="dxa"/>
              <w:left w:w="85" w:type="dxa"/>
              <w:bottom w:w="85" w:type="dxa"/>
              <w:right w:w="85" w:type="dxa"/>
            </w:tcMar>
            <w:shd w:fill="FFFFFF"/>
          </w:tcPr>
          <w:p>
            <w:pPr>
              <w:spacing w:after="20" w:line="276" w:lineRule="auto"/>
            </w:pPr>
            <w:r>
              <w:rPr>
                <w:sz w:val="18"/>
              </w:rPr>
              <w:t>3美元</w:t>
            </w:r>
          </w:p>
        </w:tc>
        <w:tc>
          <w:tcPr>
            <w:tcW w:type="dxa" w:w="2808"/>
            <w:vAlign w:val="center"/>
            <w:tcMar>
              <w:top w:w="85" w:type="dxa"/>
              <w:left w:w="85" w:type="dxa"/>
              <w:bottom w:w="85" w:type="dxa"/>
              <w:right w:w="85" w:type="dxa"/>
            </w:tcMar>
            <w:shd w:fill="FFFFFF"/>
          </w:tcPr>
          <w:p>
            <w:pPr>
              <w:spacing w:after="20" w:line="276" w:lineRule="auto"/>
            </w:pPr>
            <w:r>
              <w:rPr>
                <w:sz w:val="18"/>
              </w:rPr>
              <w:t>1152美元</w:t>
            </w:r>
          </w:p>
        </w:tc>
      </w:tr>
    </w:tbl>
    <w:p>
      <w:pPr>
        <w:spacing w:after="0"/>
      </w:pPr>
    </w:p>
    <w:p>
      <w:r>
        <w:t>这些价格用于展示敏感性，不是任何平台当前报价；开工前以实际账户套餐和模型计费重算。完整预算还要列图像测试、声音、修复、放大、字幕、存储、人员与预留金。建议先为20—40秒试片设上限，再用真实通过率更新整片预算，而不是一开始购买最高档方案。</w:t>
      </w:r>
    </w:p>
    <w:p>
      <w:pPr>
        <w:pStyle w:val="Heading2"/>
      </w:pPr>
      <w:r>
        <w:t>三种情况应立即改方案</w:t>
      </w:r>
    </w:p>
    <w:p>
      <w:r>
        <w:t>第一，失败镜头每次错在不同位置，表明同时约束过多；减少人物或动作。第二，改变一个参数就破坏其他已批准部分，表明应转向局部合成或更明确参考。第三，观众已经看不懂剧情，再精修画面也无法挽回；回到剧本和剪辑，不继续为无效镜头付费。</w:t>
      </w:r>
    </w:p>
    <w:p>
      <w:pPr>
        <w:pStyle w:val="Heading1"/>
      </w:pPr>
      <w:r>
        <w:t>内部质量验收表</w:t>
      </w:r>
    </w:p>
    <w:p>
      <w:r>
        <w:t>下表是本报告制定的建议，不能解释为任何电影节的官方评分或获奖分数线。可由三位不参与制作的人独立填写，先比较理由，再讨论分数。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3312"/>
        <w:gridCol w:w="4176"/>
      </w:tblGrid>
      <w:tr>
        <w:trPr>
          <w:cantSplit/>
          <w:tblHeader/>
        </w:trPr>
        <w:tc>
          <w:tcPr>
            <w:tcW w:type="dxa" w:w="2088"/>
            <w:vAlign w:val="center"/>
            <w:tcMar>
              <w:top w:w="85" w:type="dxa"/>
              <w:left w:w="85" w:type="dxa"/>
              <w:bottom w:w="85" w:type="dxa"/>
              <w:right w:w="85" w:type="dxa"/>
            </w:tcMar>
            <w:shd w:fill="24465B"/>
          </w:tcPr>
          <w:p>
            <w:pPr>
              <w:spacing w:after="20" w:line="276" w:lineRule="auto"/>
            </w:pPr>
            <w:r>
              <w:rPr>
                <w:b/>
                <w:color w:val="FFFFFF"/>
                <w:sz w:val="18"/>
              </w:rPr>
              <w:t>维度</w:t>
            </w:r>
          </w:p>
        </w:tc>
        <w:tc>
          <w:tcPr>
            <w:tcW w:type="dxa" w:w="3312"/>
            <w:vAlign w:val="center"/>
            <w:tcMar>
              <w:top w:w="85" w:type="dxa"/>
              <w:left w:w="85" w:type="dxa"/>
              <w:bottom w:w="85" w:type="dxa"/>
              <w:right w:w="85" w:type="dxa"/>
            </w:tcMar>
            <w:shd w:fill="24465B"/>
          </w:tcPr>
          <w:p>
            <w:pPr>
              <w:spacing w:after="20" w:line="276" w:lineRule="auto"/>
            </w:pPr>
            <w:r>
              <w:rPr>
                <w:b/>
                <w:color w:val="FFFFFF"/>
                <w:sz w:val="18"/>
              </w:rPr>
              <w:t>建议权重</w:t>
            </w:r>
          </w:p>
        </w:tc>
        <w:tc>
          <w:tcPr>
            <w:tcW w:type="dxa" w:w="4176"/>
            <w:vAlign w:val="center"/>
            <w:tcMar>
              <w:top w:w="85" w:type="dxa"/>
              <w:left w:w="85" w:type="dxa"/>
              <w:bottom w:w="85" w:type="dxa"/>
              <w:right w:w="85" w:type="dxa"/>
            </w:tcMar>
            <w:shd w:fill="24465B"/>
          </w:tcPr>
          <w:p>
            <w:pPr>
              <w:spacing w:after="20" w:line="276" w:lineRule="auto"/>
            </w:pPr>
            <w:r>
              <w:rPr>
                <w:b/>
                <w:color w:val="FFFFFF"/>
                <w:sz w:val="18"/>
              </w:rPr>
              <w:t>检查问题</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故事与人物</w:t>
            </w:r>
          </w:p>
        </w:tc>
        <w:tc>
          <w:tcPr>
            <w:tcW w:type="dxa" w:w="3312"/>
            <w:vAlign w:val="center"/>
            <w:tcMar>
              <w:top w:w="85" w:type="dxa"/>
              <w:left w:w="85" w:type="dxa"/>
              <w:bottom w:w="85" w:type="dxa"/>
              <w:right w:w="85" w:type="dxa"/>
            </w:tcMar>
            <w:shd w:fill="FFFFFF"/>
          </w:tcPr>
          <w:p>
            <w:pPr>
              <w:spacing w:after="20" w:line="276" w:lineRule="auto"/>
            </w:pPr>
            <w:r>
              <w:rPr>
                <w:sz w:val="18"/>
              </w:rPr>
              <w:t>30</w:t>
            </w:r>
          </w:p>
        </w:tc>
        <w:tc>
          <w:tcPr>
            <w:tcW w:type="dxa" w:w="4176"/>
            <w:vAlign w:val="center"/>
            <w:tcMar>
              <w:top w:w="85" w:type="dxa"/>
              <w:left w:w="85" w:type="dxa"/>
              <w:bottom w:w="85" w:type="dxa"/>
              <w:right w:w="85" w:type="dxa"/>
            </w:tcMar>
            <w:shd w:fill="FFFFFF"/>
          </w:tcPr>
          <w:p>
            <w:pPr>
              <w:spacing w:after="20" w:line="276" w:lineRule="auto"/>
            </w:pPr>
            <w:r>
              <w:rPr>
                <w:sz w:val="18"/>
              </w:rPr>
              <w:t>主人公是否有明确目标；行动是否带来结果；结尾是否完成前文承诺</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导演与表演</w:t>
            </w:r>
          </w:p>
        </w:tc>
        <w:tc>
          <w:tcPr>
            <w:tcW w:type="dxa" w:w="3312"/>
            <w:vAlign w:val="center"/>
            <w:tcMar>
              <w:top w:w="85" w:type="dxa"/>
              <w:left w:w="85" w:type="dxa"/>
              <w:bottom w:w="85" w:type="dxa"/>
              <w:right w:w="85" w:type="dxa"/>
            </w:tcMar>
            <w:shd w:fill="F2F5F7"/>
          </w:tcPr>
          <w:p>
            <w:pPr>
              <w:spacing w:after="20" w:line="276" w:lineRule="auto"/>
            </w:pPr>
            <w:r>
              <w:rPr>
                <w:sz w:val="18"/>
              </w:rPr>
              <w:t>20</w:t>
            </w:r>
          </w:p>
        </w:tc>
        <w:tc>
          <w:tcPr>
            <w:tcW w:type="dxa" w:w="4176"/>
            <w:vAlign w:val="center"/>
            <w:tcMar>
              <w:top w:w="85" w:type="dxa"/>
              <w:left w:w="85" w:type="dxa"/>
              <w:bottom w:w="85" w:type="dxa"/>
              <w:right w:w="85" w:type="dxa"/>
            </w:tcMar>
            <w:shd w:fill="F2F5F7"/>
          </w:tcPr>
          <w:p>
            <w:pPr>
              <w:spacing w:after="20" w:line="276" w:lineRule="auto"/>
            </w:pPr>
            <w:r>
              <w:rPr>
                <w:sz w:val="18"/>
              </w:rPr>
              <w:t>机位是否服务信息和情绪；人物是否在倾听与反应；停顿是否有意义</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视觉与连续性</w:t>
            </w:r>
          </w:p>
        </w:tc>
        <w:tc>
          <w:tcPr>
            <w:tcW w:type="dxa" w:w="3312"/>
            <w:vAlign w:val="center"/>
            <w:tcMar>
              <w:top w:w="85" w:type="dxa"/>
              <w:left w:w="85" w:type="dxa"/>
              <w:bottom w:w="85" w:type="dxa"/>
              <w:right w:w="85" w:type="dxa"/>
            </w:tcMar>
            <w:shd w:fill="FFFFFF"/>
          </w:tcPr>
          <w:p>
            <w:pPr>
              <w:spacing w:after="20" w:line="276" w:lineRule="auto"/>
            </w:pPr>
            <w:r>
              <w:rPr>
                <w:sz w:val="18"/>
              </w:rPr>
              <w:t>20</w:t>
            </w:r>
          </w:p>
        </w:tc>
        <w:tc>
          <w:tcPr>
            <w:tcW w:type="dxa" w:w="4176"/>
            <w:vAlign w:val="center"/>
            <w:tcMar>
              <w:top w:w="85" w:type="dxa"/>
              <w:left w:w="85" w:type="dxa"/>
              <w:bottom w:w="85" w:type="dxa"/>
              <w:right w:w="85" w:type="dxa"/>
            </w:tcMar>
            <w:shd w:fill="FFFFFF"/>
          </w:tcPr>
          <w:p>
            <w:pPr>
              <w:spacing w:after="20" w:line="276" w:lineRule="auto"/>
            </w:pPr>
            <w:r>
              <w:rPr>
                <w:sz w:val="18"/>
              </w:rPr>
              <w:t>人物、服装、空间、光照是否能接；风格是否出于创作选择</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声音与剪辑</w:t>
            </w:r>
          </w:p>
        </w:tc>
        <w:tc>
          <w:tcPr>
            <w:tcW w:type="dxa" w:w="3312"/>
            <w:vAlign w:val="center"/>
            <w:tcMar>
              <w:top w:w="85" w:type="dxa"/>
              <w:left w:w="85" w:type="dxa"/>
              <w:bottom w:w="85" w:type="dxa"/>
              <w:right w:w="85" w:type="dxa"/>
            </w:tcMar>
            <w:shd w:fill="F2F5F7"/>
          </w:tcPr>
          <w:p>
            <w:pPr>
              <w:spacing w:after="20" w:line="276" w:lineRule="auto"/>
            </w:pPr>
            <w:r>
              <w:rPr>
                <w:sz w:val="18"/>
              </w:rPr>
              <w:t>20</w:t>
            </w:r>
          </w:p>
        </w:tc>
        <w:tc>
          <w:tcPr>
            <w:tcW w:type="dxa" w:w="4176"/>
            <w:vAlign w:val="center"/>
            <w:tcMar>
              <w:top w:w="85" w:type="dxa"/>
              <w:left w:w="85" w:type="dxa"/>
              <w:bottom w:w="85" w:type="dxa"/>
              <w:right w:w="85" w:type="dxa"/>
            </w:tcMar>
            <w:shd w:fill="F2F5F7"/>
          </w:tcPr>
          <w:p>
            <w:pPr>
              <w:spacing w:after="20" w:line="276" w:lineRule="auto"/>
            </w:pPr>
            <w:r>
              <w:rPr>
                <w:sz w:val="18"/>
              </w:rPr>
              <w:t>对白是否清楚；动作音是否同步；段落节奏是否有变化</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原创表达</w:t>
            </w:r>
          </w:p>
        </w:tc>
        <w:tc>
          <w:tcPr>
            <w:tcW w:type="dxa" w:w="3312"/>
            <w:vAlign w:val="center"/>
            <w:tcMar>
              <w:top w:w="85" w:type="dxa"/>
              <w:left w:w="85" w:type="dxa"/>
              <w:bottom w:w="85" w:type="dxa"/>
              <w:right w:w="85" w:type="dxa"/>
            </w:tcMar>
            <w:shd w:fill="FFFFFF"/>
          </w:tcPr>
          <w:p>
            <w:pPr>
              <w:spacing w:after="20" w:line="276" w:lineRule="auto"/>
            </w:pPr>
            <w:r>
              <w:rPr>
                <w:sz w:val="18"/>
              </w:rPr>
              <w:t>10</w:t>
            </w:r>
          </w:p>
        </w:tc>
        <w:tc>
          <w:tcPr>
            <w:tcW w:type="dxa" w:w="4176"/>
            <w:vAlign w:val="center"/>
            <w:tcMar>
              <w:top w:w="85" w:type="dxa"/>
              <w:left w:w="85" w:type="dxa"/>
              <w:bottom w:w="85" w:type="dxa"/>
              <w:right w:w="85" w:type="dxa"/>
            </w:tcMar>
            <w:shd w:fill="FFFFFF"/>
          </w:tcPr>
          <w:p>
            <w:pPr>
              <w:spacing w:after="20" w:line="276" w:lineRule="auto"/>
            </w:pPr>
            <w:r>
              <w:rPr>
                <w:sz w:val="18"/>
              </w:rPr>
              <w:t>是否超出常见生成素材拼贴；题材和形式是否互相支持</w:t>
            </w:r>
          </w:p>
        </w:tc>
      </w:tr>
    </w:tbl>
    <w:p>
      <w:pPr>
        <w:spacing w:after="0"/>
      </w:pPr>
    </w:p>
    <w:p>
      <w:r>
        <w:t>内部可设80分为继续精修目标，但任何严重叙事断裂、关键人物突然换脸、无法听清的关键台词、缺失交付项都应单独阻断交付，不能靠其他项目高分抵消。80分只是团队规则，不意味着获奖概率。</w:t>
      </w:r>
    </w:p>
    <w:p>
      <w:r>
        <w:t>终验分三轮：第一轮不暂停，记录何时出戏或失去兴趣；第二轮逐镜检查人物、动作、道具和空间；第三轮只检查导出文件的声音、字幕、片尾和完整性。将审片人不知道的背景信息列出，不用创作者口头说明替作品补洞。</w:t>
      </w:r>
    </w:p>
    <w:p>
      <w:pPr>
        <w:pStyle w:val="Heading1"/>
      </w:pPr>
      <w:r>
        <w:t>学习样本时应该记录什么</w:t>
      </w:r>
    </w:p>
    <w:p>
      <w:r>
        <w:t>先选一部无对白或低对白动画，观察画面本身怎样传递情绪；再选一部人物对话片，观察反应、停顿和空间；最后选一部动作片，观察动作拆解和接点。同一片看第二遍时只记录镜头功能，不抄提示词。</w:t>
      </w:r>
    </w:p>
    <w:p>
      <w:r>
        <w:t>建议记录格式为：影片名、起止时间、该镜头带来的新信息、景别和机位、人物动作、声音事件、与前后镜头的连接、可见问题、可能的解决方式、证据类型。看不出的制作方法写“未知”，不能从画风断言使用某一模型。</w:t>
      </w:r>
    </w:p>
    <w:p>
      <w:r>
        <w:t>对于公开项目中的提示词，关注它和参考素材、上一镜头、剪辑结果之间的关系。脱离资产和时间线的提示词，通常不能复现最终效果。官方参考片与比赛片应分别学习：前者适合研究流程，后者适合研究有限资源下的取舍。</w:t>
      </w:r>
    </w:p>
    <w:p>
      <w:pPr>
        <w:pStyle w:val="Heading1"/>
      </w:pPr>
      <w:r>
        <w:t>对本项目的建议</w:t>
      </w:r>
    </w:p>
    <w:p>
      <w:r>
        <w:t>第一部试作建议限定3—4分钟、1—2位主角、2—3个主要场景，选择一个清楚的情绪转折。先做30秒包含近景反应、物体互动和场景衔接的试片。若在这个规模上无法控制一致性，就暂不扩成长片。</w:t>
      </w:r>
    </w:p>
    <w:p>
      <w:r>
        <w:t>若延续历史短片方向，先区分“史实解释型影像”和“虚构人物剧情片”：前者的核心验收是史料准确与信息清楚，后者还需要人物目标、冲突和表演。历史题材是否适合某一赛事须按其真实人物、政治与内容限制另行核对；不能因为别的项目公开，就默认本届准入。</w:t>
      </w:r>
    </w:p>
    <w:p>
      <w:r>
        <w:t>实际最应建设的资产是：可复用的人物与场景基准、镜头清单、生成及采用记录、声音事件表、逐镜质量表。把这些文件与剪辑工程一起维护，才能从“偶尔得到好镜头”进步为“稳定完成一部作品”。</w:t>
      </w:r>
    </w:p>
    <w:p>
      <w:pPr>
        <w:pStyle w:val="Heading1"/>
      </w:pPr>
      <w:r>
        <w:t>可直接复用的镜头记录模板</w:t>
      </w:r>
    </w:p>
    <w:p>
      <w:r>
        <w:t>每个镜头至少记录以下字段：镜头ID、场景ID、剧本版本、情绪任务、预计采用时长、人物及服装版本、地点及光源、景别与机位、主体动作、声音事件、参考资产、模型版本、生成次数、采用文件及入出点、问题、修复方式、批准人和状态。文件名可采用SC02_SH005_v003_take02，不覆盖已批准版本。</w:t>
      </w:r>
    </w:p>
    <w:p>
      <w:r>
        <w:t>下面是一条本报告原创的示例，用来说明如何把抽象意图转成可执行镜头，不是任何参赛片的实际提示词，也不是某模型的通用最优写法。</w:t>
      </w:r>
    </w:p>
    <w:p>
      <w:r>
        <w:t>镜头SC02_SH005，预计采用5秒。情绪任务：主人公意识到朋友已经离开。中近景，固定机位，人物坐在画面右侧，窗光来自左侧。她先看向桌上的空杯子，手伸到一半停下，随后缓慢收回。重点是视线与手的停顿，不要求额外运镜。前镜保留杯子的位置，后镜接门口空景。声音：同一房间底噪连续，袖口摩擦轻，音乐暂不进入。</w:t>
      </w:r>
    </w:p>
    <w:p>
      <w:r>
        <w:t>验收时先问：观众能否看见“准备行动又放弃”的变化？再检查杯子、手、眼线和光源是否接得上。若模型无法同时完成，拆成眼睛反应和手部两个镜头；剪辑可以完成同一叙事功能，无需为复杂单镜头无限重试。</w:t>
      </w:r>
    </w:p>
    <w:p>
      <w:pPr>
        <w:pStyle w:val="Heading1"/>
      </w:pPr>
      <w:r>
        <w:t>进一步比较中美工具的实验设计</w:t>
      </w:r>
    </w:p>
    <w:p>
      <w:r>
        <w:t>如要把本报告的产业观察升级成性能结论，建议使用6个固定镜头任务：双人交接杯子、同一人物正反打、克制情绪近景、走进室内并落座、动物与道具互动、固定商品外观。为每个任务准备同一参考和明确成功条件，在候选工具上各做5次；第一轮不挑最好结果，统计全部输出，再允许限定次数的修改。</w:t>
      </w:r>
    </w:p>
    <w:p>
      <w:r>
        <w:t>盲评者只看匿名输出，记录叙事完成、主体身份、动作接触、空间关系和可剪辑性；同时记录总费用、人工时间和重试次数。模型版本、日期、分辨率、生成长度和特殊功能要一并保留。少量任务仍不能代表整个电影工业，但能比网上单条演示更可靠地回答“哪一个工具适合我的片子”。</w:t>
      </w:r>
    </w:p>
    <w:p>
      <w:r>
        <w:br w:type="page"/>
      </w:r>
    </w:p>
    <w:p>
      <w:pPr>
        <w:pStyle w:val="Heading1"/>
      </w:pPr>
      <w:r>
        <w:t>本地影片目录与抽帧观察</w:t>
      </w:r>
    </w:p>
    <w:p>
      <w:r>
        <w:t>共12部完整短片和1部官方示范长片，合计181.9分钟，MP4文件合计1.64 GiB。短片为720p公开播放版，长片为480p。所有时长按本地文件测量，可能包含平台片尾；与页面标注不同不自动代表下载错误。</w:t>
      </w:r>
    </w:p>
    <w:p>
      <w:r>
        <w:t>检查方法：每片12个等间隔时间点抽帧，并核查媒体轨道、播放列表结束标记和全文件解码。以下仅给出抽帧可支持的观察及建议复看点，不对未完整听看的声音和表演打分。视频保留原标识；下载不构成转载或商业使用授权。</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3312"/>
        <w:gridCol w:w="4176"/>
      </w:tblGrid>
      <w:tr>
        <w:trPr>
          <w:cantSplit/>
          <w:tblHeader/>
        </w:trPr>
        <w:tc>
          <w:tcPr>
            <w:tcW w:type="dxa" w:w="2088"/>
            <w:vAlign w:val="center"/>
            <w:tcMar>
              <w:top w:w="85" w:type="dxa"/>
              <w:left w:w="85" w:type="dxa"/>
              <w:bottom w:w="85" w:type="dxa"/>
              <w:right w:w="85" w:type="dxa"/>
            </w:tcMar>
            <w:shd w:fill="24465B"/>
          </w:tcPr>
          <w:p>
            <w:pPr>
              <w:spacing w:after="20" w:line="276" w:lineRule="auto"/>
            </w:pPr>
            <w:r>
              <w:rPr>
                <w:b/>
                <w:color w:val="FFFFFF"/>
                <w:sz w:val="18"/>
              </w:rPr>
              <w:t>影片</w:t>
            </w:r>
          </w:p>
        </w:tc>
        <w:tc>
          <w:tcPr>
            <w:tcW w:type="dxa" w:w="3312"/>
            <w:vAlign w:val="center"/>
            <w:tcMar>
              <w:top w:w="85" w:type="dxa"/>
              <w:left w:w="85" w:type="dxa"/>
              <w:bottom w:w="85" w:type="dxa"/>
              <w:right w:w="85" w:type="dxa"/>
            </w:tcMar>
            <w:shd w:fill="24465B"/>
          </w:tcPr>
          <w:p>
            <w:pPr>
              <w:spacing w:after="20" w:line="276" w:lineRule="auto"/>
            </w:pPr>
            <w:r>
              <w:rPr>
                <w:b/>
                <w:color w:val="FFFFFF"/>
                <w:sz w:val="18"/>
              </w:rPr>
              <w:t>本地片长</w:t>
            </w:r>
          </w:p>
        </w:tc>
        <w:tc>
          <w:tcPr>
            <w:tcW w:type="dxa" w:w="4176"/>
            <w:vAlign w:val="center"/>
            <w:tcMar>
              <w:top w:w="85" w:type="dxa"/>
              <w:left w:w="85" w:type="dxa"/>
              <w:bottom w:w="85" w:type="dxa"/>
              <w:right w:w="85" w:type="dxa"/>
            </w:tcMar>
            <w:shd w:fill="24465B"/>
          </w:tcPr>
          <w:p>
            <w:pPr>
              <w:spacing w:after="20" w:line="276" w:lineRule="auto"/>
            </w:pPr>
            <w:r>
              <w:rPr>
                <w:b/>
                <w:color w:val="FFFFFF"/>
                <w:sz w:val="18"/>
              </w:rPr>
              <w:t>类型</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PON</w:t>
            </w:r>
          </w:p>
        </w:tc>
        <w:tc>
          <w:tcPr>
            <w:tcW w:type="dxa" w:w="3312"/>
            <w:vAlign w:val="center"/>
            <w:tcMar>
              <w:top w:w="85" w:type="dxa"/>
              <w:left w:w="85" w:type="dxa"/>
              <w:bottom w:w="85" w:type="dxa"/>
              <w:right w:w="85" w:type="dxa"/>
            </w:tcMar>
            <w:shd w:fill="FFFFFF"/>
          </w:tcPr>
          <w:p>
            <w:pPr>
              <w:spacing w:after="20" w:line="276" w:lineRule="auto"/>
            </w:pPr>
            <w:r>
              <w:rPr>
                <w:sz w:val="18"/>
              </w:rPr>
              <w:t>06:53</w:t>
            </w:r>
          </w:p>
        </w:tc>
        <w:tc>
          <w:tcPr>
            <w:tcW w:type="dxa" w:w="4176"/>
            <w:vAlign w:val="center"/>
            <w:tcMar>
              <w:top w:w="85" w:type="dxa"/>
              <w:left w:w="85" w:type="dxa"/>
              <w:bottom w:w="85" w:type="dxa"/>
              <w:right w:w="85" w:type="dxa"/>
            </w:tcMar>
            <w:shd w:fill="FFFFFF"/>
          </w:tcPr>
          <w:p>
            <w:pPr>
              <w:spacing w:after="20" w:line="276" w:lineRule="auto"/>
            </w:pPr>
            <w:r>
              <w:rPr>
                <w:sz w:val="18"/>
              </w:rPr>
              <w:t>科幻动作与陪伴关系</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NULL</w:t>
            </w:r>
          </w:p>
        </w:tc>
        <w:tc>
          <w:tcPr>
            <w:tcW w:type="dxa" w:w="3312"/>
            <w:vAlign w:val="center"/>
            <w:tcMar>
              <w:top w:w="85" w:type="dxa"/>
              <w:left w:w="85" w:type="dxa"/>
              <w:bottom w:w="85" w:type="dxa"/>
              <w:right w:w="85" w:type="dxa"/>
            </w:tcMar>
            <w:shd w:fill="F2F5F7"/>
          </w:tcPr>
          <w:p>
            <w:pPr>
              <w:spacing w:after="20" w:line="276" w:lineRule="auto"/>
            </w:pPr>
            <w:r>
              <w:rPr>
                <w:sz w:val="18"/>
              </w:rPr>
              <w:t>05:02</w:t>
            </w:r>
          </w:p>
        </w:tc>
        <w:tc>
          <w:tcPr>
            <w:tcW w:type="dxa" w:w="4176"/>
            <w:vAlign w:val="center"/>
            <w:tcMar>
              <w:top w:w="85" w:type="dxa"/>
              <w:left w:w="85" w:type="dxa"/>
              <w:bottom w:w="85" w:type="dxa"/>
              <w:right w:w="85" w:type="dxa"/>
            </w:tcMar>
            <w:shd w:fill="F2F5F7"/>
          </w:tcPr>
          <w:p>
            <w:pPr>
              <w:spacing w:after="20" w:line="276" w:lineRule="auto"/>
            </w:pPr>
            <w:r>
              <w:rPr>
                <w:sz w:val="18"/>
              </w:rPr>
              <w:t>多人科幻动作</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THE LAST COLOR</w:t>
            </w:r>
          </w:p>
        </w:tc>
        <w:tc>
          <w:tcPr>
            <w:tcW w:type="dxa" w:w="3312"/>
            <w:vAlign w:val="center"/>
            <w:tcMar>
              <w:top w:w="85" w:type="dxa"/>
              <w:left w:w="85" w:type="dxa"/>
              <w:bottom w:w="85" w:type="dxa"/>
              <w:right w:w="85" w:type="dxa"/>
            </w:tcMar>
            <w:shd w:fill="FFFFFF"/>
          </w:tcPr>
          <w:p>
            <w:pPr>
              <w:spacing w:after="20" w:line="276" w:lineRule="auto"/>
            </w:pPr>
            <w:r>
              <w:rPr>
                <w:sz w:val="18"/>
              </w:rPr>
              <w:t>06:13</w:t>
            </w:r>
          </w:p>
        </w:tc>
        <w:tc>
          <w:tcPr>
            <w:tcW w:type="dxa" w:w="4176"/>
            <w:vAlign w:val="center"/>
            <w:tcMar>
              <w:top w:w="85" w:type="dxa"/>
              <w:left w:w="85" w:type="dxa"/>
              <w:bottom w:w="85" w:type="dxa"/>
              <w:right w:w="85" w:type="dxa"/>
            </w:tcMar>
            <w:shd w:fill="FFFFFF"/>
          </w:tcPr>
          <w:p>
            <w:pPr>
              <w:spacing w:after="20" w:line="276" w:lineRule="auto"/>
            </w:pPr>
            <w:r>
              <w:rPr>
                <w:sz w:val="18"/>
              </w:rPr>
              <w:t>黑白与局部色彩叙事</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The World Worth Living In</w:t>
            </w:r>
          </w:p>
        </w:tc>
        <w:tc>
          <w:tcPr>
            <w:tcW w:type="dxa" w:w="3312"/>
            <w:vAlign w:val="center"/>
            <w:tcMar>
              <w:top w:w="85" w:type="dxa"/>
              <w:left w:w="85" w:type="dxa"/>
              <w:bottom w:w="85" w:type="dxa"/>
              <w:right w:w="85" w:type="dxa"/>
            </w:tcMar>
            <w:shd w:fill="F2F5F7"/>
          </w:tcPr>
          <w:p>
            <w:pPr>
              <w:spacing w:after="20" w:line="276" w:lineRule="auto"/>
            </w:pPr>
            <w:r>
              <w:rPr>
                <w:sz w:val="18"/>
              </w:rPr>
              <w:t>07:18</w:t>
            </w:r>
          </w:p>
        </w:tc>
        <w:tc>
          <w:tcPr>
            <w:tcW w:type="dxa" w:w="4176"/>
            <w:vAlign w:val="center"/>
            <w:tcMar>
              <w:top w:w="85" w:type="dxa"/>
              <w:left w:w="85" w:type="dxa"/>
              <w:bottom w:w="85" w:type="dxa"/>
              <w:right w:w="85" w:type="dxa"/>
            </w:tcMar>
            <w:shd w:fill="F2F5F7"/>
          </w:tcPr>
          <w:p>
            <w:pPr>
              <w:spacing w:after="20" w:line="276" w:lineRule="auto"/>
            </w:pPr>
            <w:r>
              <w:rPr>
                <w:sz w:val="18"/>
              </w:rPr>
              <w:t>哲学科幻与风格切换</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BESA</w:t>
            </w:r>
          </w:p>
        </w:tc>
        <w:tc>
          <w:tcPr>
            <w:tcW w:type="dxa" w:w="3312"/>
            <w:vAlign w:val="center"/>
            <w:tcMar>
              <w:top w:w="85" w:type="dxa"/>
              <w:left w:w="85" w:type="dxa"/>
              <w:bottom w:w="85" w:type="dxa"/>
              <w:right w:w="85" w:type="dxa"/>
            </w:tcMar>
            <w:shd w:fill="FFFFFF"/>
          </w:tcPr>
          <w:p>
            <w:pPr>
              <w:spacing w:after="20" w:line="276" w:lineRule="auto"/>
            </w:pPr>
            <w:r>
              <w:rPr>
                <w:sz w:val="18"/>
              </w:rPr>
              <w:t>10:31</w:t>
            </w:r>
          </w:p>
        </w:tc>
        <w:tc>
          <w:tcPr>
            <w:tcW w:type="dxa" w:w="4176"/>
            <w:vAlign w:val="center"/>
            <w:tcMar>
              <w:top w:w="85" w:type="dxa"/>
              <w:left w:w="85" w:type="dxa"/>
              <w:bottom w:w="85" w:type="dxa"/>
              <w:right w:w="85" w:type="dxa"/>
            </w:tcMar>
            <w:shd w:fill="FFFFFF"/>
          </w:tcPr>
          <w:p>
            <w:pPr>
              <w:spacing w:after="20" w:line="276" w:lineRule="auto"/>
            </w:pPr>
            <w:r>
              <w:rPr>
                <w:sz w:val="18"/>
              </w:rPr>
              <w:t>民俗传奇与家庭关系</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Fallen Leaves</w:t>
            </w:r>
          </w:p>
        </w:tc>
        <w:tc>
          <w:tcPr>
            <w:tcW w:type="dxa" w:w="3312"/>
            <w:vAlign w:val="center"/>
            <w:tcMar>
              <w:top w:w="85" w:type="dxa"/>
              <w:left w:w="85" w:type="dxa"/>
              <w:bottom w:w="85" w:type="dxa"/>
              <w:right w:w="85" w:type="dxa"/>
            </w:tcMar>
            <w:shd w:fill="F2F5F7"/>
          </w:tcPr>
          <w:p>
            <w:pPr>
              <w:spacing w:after="20" w:line="276" w:lineRule="auto"/>
            </w:pPr>
            <w:r>
              <w:rPr>
                <w:sz w:val="18"/>
              </w:rPr>
              <w:t>05:39</w:t>
            </w:r>
          </w:p>
        </w:tc>
        <w:tc>
          <w:tcPr>
            <w:tcW w:type="dxa" w:w="4176"/>
            <w:vAlign w:val="center"/>
            <w:tcMar>
              <w:top w:w="85" w:type="dxa"/>
              <w:left w:w="85" w:type="dxa"/>
              <w:bottom w:w="85" w:type="dxa"/>
              <w:right w:w="85" w:type="dxa"/>
            </w:tcMar>
            <w:shd w:fill="F2F5F7"/>
          </w:tcPr>
          <w:p>
            <w:pPr>
              <w:spacing w:after="20" w:line="276" w:lineRule="auto"/>
            </w:pPr>
            <w:r>
              <w:rPr>
                <w:sz w:val="18"/>
              </w:rPr>
              <w:t>古装写实与动作</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BALLAST</w:t>
            </w:r>
          </w:p>
        </w:tc>
        <w:tc>
          <w:tcPr>
            <w:tcW w:type="dxa" w:w="3312"/>
            <w:vAlign w:val="center"/>
            <w:tcMar>
              <w:top w:w="85" w:type="dxa"/>
              <w:left w:w="85" w:type="dxa"/>
              <w:bottom w:w="85" w:type="dxa"/>
              <w:right w:w="85" w:type="dxa"/>
            </w:tcMar>
            <w:shd w:fill="FFFFFF"/>
          </w:tcPr>
          <w:p>
            <w:pPr>
              <w:spacing w:after="20" w:line="276" w:lineRule="auto"/>
            </w:pPr>
            <w:r>
              <w:rPr>
                <w:sz w:val="18"/>
              </w:rPr>
              <w:t>07:06</w:t>
            </w:r>
          </w:p>
        </w:tc>
        <w:tc>
          <w:tcPr>
            <w:tcW w:type="dxa" w:w="4176"/>
            <w:vAlign w:val="center"/>
            <w:tcMar>
              <w:top w:w="85" w:type="dxa"/>
              <w:left w:w="85" w:type="dxa"/>
              <w:bottom w:w="85" w:type="dxa"/>
              <w:right w:w="85" w:type="dxa"/>
            </w:tcMar>
            <w:shd w:fill="FFFFFF"/>
          </w:tcPr>
          <w:p>
            <w:pPr>
              <w:spacing w:after="20" w:line="276" w:lineRule="auto"/>
            </w:pPr>
            <w:r>
              <w:rPr>
                <w:sz w:val="18"/>
              </w:rPr>
              <w:t>风格化动物动画</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Detour</w:t>
            </w:r>
          </w:p>
        </w:tc>
        <w:tc>
          <w:tcPr>
            <w:tcW w:type="dxa" w:w="3312"/>
            <w:vAlign w:val="center"/>
            <w:tcMar>
              <w:top w:w="85" w:type="dxa"/>
              <w:left w:w="85" w:type="dxa"/>
              <w:bottom w:w="85" w:type="dxa"/>
              <w:right w:w="85" w:type="dxa"/>
            </w:tcMar>
            <w:shd w:fill="F2F5F7"/>
          </w:tcPr>
          <w:p>
            <w:pPr>
              <w:spacing w:after="20" w:line="276" w:lineRule="auto"/>
            </w:pPr>
            <w:r>
              <w:rPr>
                <w:sz w:val="18"/>
              </w:rPr>
              <w:t>11:18</w:t>
            </w:r>
          </w:p>
        </w:tc>
        <w:tc>
          <w:tcPr>
            <w:tcW w:type="dxa" w:w="4176"/>
            <w:vAlign w:val="center"/>
            <w:tcMar>
              <w:top w:w="85" w:type="dxa"/>
              <w:left w:w="85" w:type="dxa"/>
              <w:bottom w:w="85" w:type="dxa"/>
              <w:right w:w="85" w:type="dxa"/>
            </w:tcMar>
            <w:shd w:fill="F2F5F7"/>
          </w:tcPr>
          <w:p>
            <w:pPr>
              <w:spacing w:after="20" w:line="276" w:lineRule="auto"/>
            </w:pPr>
            <w:r>
              <w:rPr>
                <w:sz w:val="18"/>
              </w:rPr>
              <w:t>公路奇幻与动作喜剧</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The Tortoise and the Hare</w:t>
            </w:r>
          </w:p>
        </w:tc>
        <w:tc>
          <w:tcPr>
            <w:tcW w:type="dxa" w:w="3312"/>
            <w:vAlign w:val="center"/>
            <w:tcMar>
              <w:top w:w="85" w:type="dxa"/>
              <w:left w:w="85" w:type="dxa"/>
              <w:bottom w:w="85" w:type="dxa"/>
              <w:right w:w="85" w:type="dxa"/>
            </w:tcMar>
            <w:shd w:fill="FFFFFF"/>
          </w:tcPr>
          <w:p>
            <w:pPr>
              <w:spacing w:after="20" w:line="276" w:lineRule="auto"/>
            </w:pPr>
            <w:r>
              <w:rPr>
                <w:sz w:val="18"/>
              </w:rPr>
              <w:t>04:04</w:t>
            </w:r>
          </w:p>
        </w:tc>
        <w:tc>
          <w:tcPr>
            <w:tcW w:type="dxa" w:w="4176"/>
            <w:vAlign w:val="center"/>
            <w:tcMar>
              <w:top w:w="85" w:type="dxa"/>
              <w:left w:w="85" w:type="dxa"/>
              <w:bottom w:w="85" w:type="dxa"/>
              <w:right w:w="85" w:type="dxa"/>
            </w:tcMar>
            <w:shd w:fill="FFFFFF"/>
          </w:tcPr>
          <w:p>
            <w:pPr>
              <w:spacing w:after="20" w:line="276" w:lineRule="auto"/>
            </w:pPr>
            <w:r>
              <w:rPr>
                <w:sz w:val="18"/>
              </w:rPr>
              <w:t>拟人动物奇幻动作</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AZUL COBALTO</w:t>
            </w:r>
          </w:p>
        </w:tc>
        <w:tc>
          <w:tcPr>
            <w:tcW w:type="dxa" w:w="3312"/>
            <w:vAlign w:val="center"/>
            <w:tcMar>
              <w:top w:w="85" w:type="dxa"/>
              <w:left w:w="85" w:type="dxa"/>
              <w:bottom w:w="85" w:type="dxa"/>
              <w:right w:w="85" w:type="dxa"/>
            </w:tcMar>
            <w:shd w:fill="F2F5F7"/>
          </w:tcPr>
          <w:p>
            <w:pPr>
              <w:spacing w:after="20" w:line="276" w:lineRule="auto"/>
            </w:pPr>
            <w:r>
              <w:rPr>
                <w:sz w:val="18"/>
              </w:rPr>
              <w:t>05:39</w:t>
            </w:r>
          </w:p>
        </w:tc>
        <w:tc>
          <w:tcPr>
            <w:tcW w:type="dxa" w:w="4176"/>
            <w:vAlign w:val="center"/>
            <w:tcMar>
              <w:top w:w="85" w:type="dxa"/>
              <w:left w:w="85" w:type="dxa"/>
              <w:bottom w:w="85" w:type="dxa"/>
              <w:right w:w="85" w:type="dxa"/>
            </w:tcMar>
            <w:shd w:fill="F2F5F7"/>
          </w:tcPr>
          <w:p>
            <w:pPr>
              <w:spacing w:after="20" w:line="276" w:lineRule="auto"/>
            </w:pPr>
            <w:r>
              <w:rPr>
                <w:sz w:val="18"/>
              </w:rPr>
              <w:t>地方街区与魔幻现实</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Count of Three</w:t>
            </w:r>
          </w:p>
        </w:tc>
        <w:tc>
          <w:tcPr>
            <w:tcW w:type="dxa" w:w="3312"/>
            <w:vAlign w:val="center"/>
            <w:tcMar>
              <w:top w:w="85" w:type="dxa"/>
              <w:left w:w="85" w:type="dxa"/>
              <w:bottom w:w="85" w:type="dxa"/>
              <w:right w:w="85" w:type="dxa"/>
            </w:tcMar>
            <w:shd w:fill="FFFFFF"/>
          </w:tcPr>
          <w:p>
            <w:pPr>
              <w:spacing w:after="20" w:line="276" w:lineRule="auto"/>
            </w:pPr>
            <w:r>
              <w:rPr>
                <w:sz w:val="18"/>
              </w:rPr>
              <w:t>11:08</w:t>
            </w:r>
          </w:p>
        </w:tc>
        <w:tc>
          <w:tcPr>
            <w:tcW w:type="dxa" w:w="4176"/>
            <w:vAlign w:val="center"/>
            <w:tcMar>
              <w:top w:w="85" w:type="dxa"/>
              <w:left w:w="85" w:type="dxa"/>
              <w:bottom w:w="85" w:type="dxa"/>
              <w:right w:w="85" w:type="dxa"/>
            </w:tcMar>
            <w:shd w:fill="FFFFFF"/>
          </w:tcPr>
          <w:p>
            <w:pPr>
              <w:spacing w:after="20" w:line="276" w:lineRule="auto"/>
            </w:pPr>
            <w:r>
              <w:rPr>
                <w:sz w:val="18"/>
              </w:rPr>
              <w:t>架空世界与成长关系</w:t>
            </w:r>
          </w:p>
        </w:tc>
      </w:tr>
      <w:tr>
        <w:trPr>
          <w:cantSplit/>
        </w:trPr>
        <w:tc>
          <w:tcPr>
            <w:tcW w:type="dxa" w:w="2088"/>
            <w:vAlign w:val="center"/>
            <w:tcMar>
              <w:top w:w="85" w:type="dxa"/>
              <w:left w:w="85" w:type="dxa"/>
              <w:bottom w:w="85" w:type="dxa"/>
              <w:right w:w="85" w:type="dxa"/>
            </w:tcMar>
            <w:shd w:fill="F2F5F7"/>
          </w:tcPr>
          <w:p>
            <w:pPr>
              <w:spacing w:after="20" w:line="276" w:lineRule="auto"/>
            </w:pPr>
            <w:r>
              <w:rPr>
                <w:sz w:val="18"/>
              </w:rPr>
              <w:t>Rest Face</w:t>
            </w:r>
          </w:p>
        </w:tc>
        <w:tc>
          <w:tcPr>
            <w:tcW w:type="dxa" w:w="3312"/>
            <w:vAlign w:val="center"/>
            <w:tcMar>
              <w:top w:w="85" w:type="dxa"/>
              <w:left w:w="85" w:type="dxa"/>
              <w:bottom w:w="85" w:type="dxa"/>
              <w:right w:w="85" w:type="dxa"/>
            </w:tcMar>
            <w:shd w:fill="F2F5F7"/>
          </w:tcPr>
          <w:p>
            <w:pPr>
              <w:spacing w:after="20" w:line="276" w:lineRule="auto"/>
            </w:pPr>
            <w:r>
              <w:rPr>
                <w:sz w:val="18"/>
              </w:rPr>
              <w:t>04:59</w:t>
            </w:r>
          </w:p>
        </w:tc>
        <w:tc>
          <w:tcPr>
            <w:tcW w:type="dxa" w:w="4176"/>
            <w:vAlign w:val="center"/>
            <w:tcMar>
              <w:top w:w="85" w:type="dxa"/>
              <w:left w:w="85" w:type="dxa"/>
              <w:bottom w:w="85" w:type="dxa"/>
              <w:right w:w="85" w:type="dxa"/>
            </w:tcMar>
            <w:shd w:fill="F2F5F7"/>
          </w:tcPr>
          <w:p>
            <w:pPr>
              <w:spacing w:after="20" w:line="276" w:lineRule="auto"/>
            </w:pPr>
            <w:r>
              <w:rPr>
                <w:sz w:val="18"/>
              </w:rPr>
              <w:t>风格化人物与社会寓言</w:t>
            </w:r>
          </w:p>
        </w:tc>
      </w:tr>
      <w:tr>
        <w:trPr>
          <w:cantSplit/>
        </w:trPr>
        <w:tc>
          <w:tcPr>
            <w:tcW w:type="dxa" w:w="2088"/>
            <w:vAlign w:val="center"/>
            <w:tcMar>
              <w:top w:w="85" w:type="dxa"/>
              <w:left w:w="85" w:type="dxa"/>
              <w:bottom w:w="85" w:type="dxa"/>
              <w:right w:w="85" w:type="dxa"/>
            </w:tcMar>
            <w:shd w:fill="FFFFFF"/>
          </w:tcPr>
          <w:p>
            <w:pPr>
              <w:spacing w:after="20" w:line="276" w:lineRule="auto"/>
            </w:pPr>
            <w:r>
              <w:rPr>
                <w:sz w:val="18"/>
              </w:rPr>
              <w:t>HELL GRIND</w:t>
            </w:r>
          </w:p>
        </w:tc>
        <w:tc>
          <w:tcPr>
            <w:tcW w:type="dxa" w:w="3312"/>
            <w:vAlign w:val="center"/>
            <w:tcMar>
              <w:top w:w="85" w:type="dxa"/>
              <w:left w:w="85" w:type="dxa"/>
              <w:bottom w:w="85" w:type="dxa"/>
              <w:right w:w="85" w:type="dxa"/>
            </w:tcMar>
            <w:shd w:fill="FFFFFF"/>
          </w:tcPr>
          <w:p>
            <w:pPr>
              <w:spacing w:after="20" w:line="276" w:lineRule="auto"/>
            </w:pPr>
            <w:r>
              <w:rPr>
                <w:sz w:val="18"/>
              </w:rPr>
              <w:t>95:59</w:t>
            </w:r>
          </w:p>
        </w:tc>
        <w:tc>
          <w:tcPr>
            <w:tcW w:type="dxa" w:w="4176"/>
            <w:vAlign w:val="center"/>
            <w:tcMar>
              <w:top w:w="85" w:type="dxa"/>
              <w:left w:w="85" w:type="dxa"/>
              <w:bottom w:w="85" w:type="dxa"/>
              <w:right w:w="85" w:type="dxa"/>
            </w:tcMar>
            <w:shd w:fill="FFFFFF"/>
          </w:tcPr>
          <w:p>
            <w:pPr>
              <w:spacing w:after="20" w:line="276" w:lineRule="auto"/>
            </w:pPr>
            <w:r>
              <w:rPr>
                <w:sz w:val="18"/>
              </w:rPr>
              <w:t>官方长片参考 非普通参赛样本</w:t>
            </w:r>
          </w:p>
        </w:tc>
      </w:tr>
    </w:tbl>
    <w:p>
      <w:pPr>
        <w:spacing w:after="0"/>
      </w:pPr>
    </w:p>
    <w:p>
      <w:r>
        <w:t>阅读顺序建议：先看BALLAST和Rest Face，观察角色与风格；再看THE LAST COLOR和Fallen Leaves，观察视听规则与人物；最后看PON、NULL和Detour，研究动作、多人关系和场景转换。这是学习顺序，不是质量排名。</w:t>
      </w:r>
    </w:p>
    <w:p>
      <w:r>
        <w:br w:type="page"/>
      </w:r>
    </w:p>
    <w:p>
      <w:pPr>
        <w:pStyle w:val="Heading2"/>
      </w:pPr>
      <w:r>
        <w:t>PON</w:t>
      </w:r>
    </w:p>
    <w:p>
      <w:pPr>
        <w:spacing w:after="60"/>
      </w:pPr>
      <w:r>
        <w:t>科幻动作与陪伴关系　06:53　720p　82.0 MiB</w:t>
      </w:r>
    </w:p>
    <w:p>
      <w:pPr>
        <w:spacing w:after="80"/>
      </w:pPr>
      <w:hyperlink r:id="rId10">
        <w:r>
          <w:rPr>
            <w:color w:val="215A83"/>
          </w:rPr>
          <w:t>官方项目与制作入口</w:t>
        </w:r>
      </w:hyperlink>
      <w:r>
        <w:t xml:space="preserve">　</w:t>
      </w:r>
      <w:hyperlink r:id="rId11">
        <w:r>
          <w:rPr>
            <w:color w:val="215A83"/>
          </w:rPr>
          <w:t>本地完整视频</w:t>
        </w:r>
      </w:hyperlink>
    </w:p>
    <w:p>
      <w:r>
        <w:drawing>
          <wp:inline xmlns:a="http://schemas.openxmlformats.org/drawingml/2006/main" xmlns:pic="http://schemas.openxmlformats.org/drawingml/2006/picture">
            <wp:extent cx="6080760" cy="1266825"/>
            <wp:docPr id="1" name="Picture 1"/>
            <wp:cNvGraphicFramePr>
              <a:graphicFrameLocks noChangeAspect="1"/>
            </wp:cNvGraphicFramePr>
            <a:graphic>
              <a:graphicData uri="http://schemas.openxmlformats.org/drawingml/2006/picture">
                <pic:pic>
                  <pic:nvPicPr>
                    <pic:cNvPr id="0" name="01_PON_strip.jpg"/>
                    <pic:cNvPicPr/>
                  </pic:nvPicPr>
                  <pic:blipFill>
                    <a:blip r:embed="rId12"/>
                    <a:stretch>
                      <a:fillRect/>
                    </a:stretch>
                  </pic:blipFill>
                  <pic:spPr>
                    <a:xfrm>
                      <a:off x="0" y="0"/>
                      <a:ext cx="6080760" cy="1266825"/>
                    </a:xfrm>
                    <a:prstGeom prst="rect"/>
                  </pic:spPr>
                </pic:pic>
              </a:graphicData>
            </a:graphic>
          </wp:inline>
        </w:drawing>
      </w:r>
    </w:p>
    <w:p>
      <w:pPr>
        <w:spacing w:after="80"/>
      </w:pPr>
      <w:r>
        <w:rPr>
          <w:b/>
        </w:rPr>
        <w:t>观察：</w:t>
      </w:r>
      <w:r>
        <w:t>00:17的街市、01:26的厨房与03:09的工业空间呈现了不同场景；机器人头部、旧外套和女孩构成反复出现的视觉锚点。06:02的近景把关注点从机械动作转向角色关系。</w:t>
      </w:r>
    </w:p>
    <w:p>
      <w:pPr>
        <w:spacing w:after="80"/>
      </w:pPr>
      <w:r>
        <w:rPr>
          <w:b/>
        </w:rPr>
        <w:t>学习重点：</w:t>
      </w:r>
      <w:r>
        <w:t>研究环境建立镜头如何过渡到人物近景；对照03:09至04:18附近的动作段落，检查接触、方向和受力。</w:t>
      </w:r>
    </w:p>
    <w:p>
      <w:pPr>
        <w:spacing w:after="80"/>
      </w:pPr>
      <w:r>
        <w:rPr>
          <w:b/>
        </w:rPr>
        <w:t>判断边界：</w:t>
      </w:r>
      <w:r>
        <w:t>抽帧可确认美术与主体反复出现，不能证明每次打击的运动连续性或全片表演一致。</w:t>
      </w:r>
    </w:p>
    <w:p>
      <w:pPr>
        <w:pStyle w:val="Heading2"/>
      </w:pPr>
      <w:r>
        <w:t>NULL</w:t>
      </w:r>
    </w:p>
    <w:p>
      <w:pPr>
        <w:spacing w:after="60"/>
      </w:pPr>
      <w:r>
        <w:t>多人科幻动作　05:02　720p　56.2 MiB</w:t>
      </w:r>
    </w:p>
    <w:p>
      <w:pPr>
        <w:spacing w:after="80"/>
      </w:pPr>
      <w:hyperlink r:id="rId13">
        <w:r>
          <w:rPr>
            <w:color w:val="215A83"/>
          </w:rPr>
          <w:t>官方项目与制作入口</w:t>
        </w:r>
      </w:hyperlink>
      <w:r>
        <w:t xml:space="preserve">　</w:t>
      </w:r>
      <w:hyperlink r:id="rId14">
        <w:r>
          <w:rPr>
            <w:color w:val="215A83"/>
          </w:rPr>
          <w:t>本地完整视频</w:t>
        </w:r>
      </w:hyperlink>
    </w:p>
    <w:p>
      <w:r>
        <w:drawing>
          <wp:inline xmlns:a="http://schemas.openxmlformats.org/drawingml/2006/main" xmlns:pic="http://schemas.openxmlformats.org/drawingml/2006/picture">
            <wp:extent cx="6080760" cy="1266825"/>
            <wp:docPr id="2" name="Picture 2"/>
            <wp:cNvGraphicFramePr>
              <a:graphicFrameLocks noChangeAspect="1"/>
            </wp:cNvGraphicFramePr>
            <a:graphic>
              <a:graphicData uri="http://schemas.openxmlformats.org/drawingml/2006/picture">
                <pic:pic>
                  <pic:nvPicPr>
                    <pic:cNvPr id="0" name="02_NULL_strip.jpg"/>
                    <pic:cNvPicPr/>
                  </pic:nvPicPr>
                  <pic:blipFill>
                    <a:blip r:embed="rId15"/>
                    <a:stretch>
                      <a:fillRect/>
                    </a:stretch>
                  </pic:blipFill>
                  <pic:spPr>
                    <a:xfrm>
                      <a:off x="0" y="0"/>
                      <a:ext cx="6080760" cy="1266825"/>
                    </a:xfrm>
                    <a:prstGeom prst="rect"/>
                  </pic:spPr>
                </pic:pic>
              </a:graphicData>
            </a:graphic>
          </wp:inline>
        </w:drawing>
      </w:r>
    </w:p>
    <w:p>
      <w:pPr>
        <w:spacing w:after="80"/>
      </w:pPr>
      <w:r>
        <w:rPr>
          <w:b/>
        </w:rPr>
        <w:t>观察：</w:t>
      </w:r>
      <w:r>
        <w:t>00:37的多人会议全景与01:03的近景使用深色空间和白黑服装区分阵营；01:53与02:18出现多人对抗、火焰和复杂身体姿态；04:24回到双人近景。</w:t>
      </w:r>
    </w:p>
    <w:p>
      <w:pPr>
        <w:spacing w:after="80"/>
      </w:pPr>
      <w:r>
        <w:rPr>
          <w:b/>
        </w:rPr>
        <w:t>学习重点：</w:t>
      </w:r>
      <w:r>
        <w:t>适合研究多人关系建立、服装识别和大场面之后的情绪收束。</w:t>
      </w:r>
    </w:p>
    <w:p>
      <w:pPr>
        <w:spacing w:after="80"/>
      </w:pPr>
      <w:r>
        <w:rPr>
          <w:b/>
        </w:rPr>
        <w:t>判断边界：</w:t>
      </w:r>
      <w:r>
        <w:t>同框人数和动作复杂度较高，应连续复看动作接点；不据静态姿态判断动作是否可信。</w:t>
      </w:r>
    </w:p>
    <w:p>
      <w:r>
        <w:br w:type="page"/>
      </w:r>
    </w:p>
    <w:p>
      <w:pPr>
        <w:pStyle w:val="Heading2"/>
      </w:pPr>
      <w:r>
        <w:t>THE LAST COLOR</w:t>
      </w:r>
    </w:p>
    <w:p>
      <w:pPr>
        <w:spacing w:after="60"/>
      </w:pPr>
      <w:r>
        <w:t>黑白与局部色彩叙事　06:13　720p　54.9 MiB</w:t>
      </w:r>
    </w:p>
    <w:p>
      <w:pPr>
        <w:spacing w:after="80"/>
      </w:pPr>
      <w:hyperlink r:id="rId16">
        <w:r>
          <w:rPr>
            <w:color w:val="215A83"/>
          </w:rPr>
          <w:t>官方项目与制作入口</w:t>
        </w:r>
      </w:hyperlink>
      <w:r>
        <w:t xml:space="preserve">　</w:t>
      </w:r>
      <w:hyperlink r:id="rId17">
        <w:r>
          <w:rPr>
            <w:color w:val="215A83"/>
          </w:rPr>
          <w:t>本地完整视频</w:t>
        </w:r>
      </w:hyperlink>
    </w:p>
    <w:p>
      <w:r>
        <w:drawing>
          <wp:inline xmlns:a="http://schemas.openxmlformats.org/drawingml/2006/main" xmlns:pic="http://schemas.openxmlformats.org/drawingml/2006/picture">
            <wp:extent cx="6080760" cy="1266825"/>
            <wp:docPr id="3" name="Picture 3"/>
            <wp:cNvGraphicFramePr>
              <a:graphicFrameLocks noChangeAspect="1"/>
            </wp:cNvGraphicFramePr>
            <a:graphic>
              <a:graphicData uri="http://schemas.openxmlformats.org/drawingml/2006/picture">
                <pic:pic>
                  <pic:nvPicPr>
                    <pic:cNvPr id="0" name="04_THE_LAST_COLOR_strip.jpg"/>
                    <pic:cNvPicPr/>
                  </pic:nvPicPr>
                  <pic:blipFill>
                    <a:blip r:embed="rId18"/>
                    <a:stretch>
                      <a:fillRect/>
                    </a:stretch>
                  </pic:blipFill>
                  <pic:spPr>
                    <a:xfrm>
                      <a:off x="0" y="0"/>
                      <a:ext cx="6080760" cy="1266825"/>
                    </a:xfrm>
                    <a:prstGeom prst="rect"/>
                  </pic:spPr>
                </pic:pic>
              </a:graphicData>
            </a:graphic>
          </wp:inline>
        </w:drawing>
      </w:r>
    </w:p>
    <w:p>
      <w:pPr>
        <w:spacing w:after="80"/>
      </w:pPr>
      <w:r>
        <w:rPr>
          <w:b/>
        </w:rPr>
        <w:t>观察：</w:t>
      </w:r>
      <w:r>
        <w:t>00:15突出红色发光物，01:17和01:48使用灰色档案空间；04:24开始可见明显的彩色环境与服装。对称建筑和色彩变化形成可辨识的全片视觉规则。</w:t>
      </w:r>
    </w:p>
    <w:p>
      <w:pPr>
        <w:spacing w:after="80"/>
      </w:pPr>
      <w:r>
        <w:rPr>
          <w:b/>
        </w:rPr>
        <w:t>学习重点：</w:t>
      </w:r>
      <w:r>
        <w:t>学习用统一视觉规则承担主题，避免每个场景独立追求漂亮。</w:t>
      </w:r>
    </w:p>
    <w:p>
      <w:pPr>
        <w:spacing w:after="80"/>
      </w:pPr>
      <w:r>
        <w:rPr>
          <w:b/>
        </w:rPr>
        <w:t>判断边界：</w:t>
      </w:r>
      <w:r>
        <w:t>可确认画面色彩分配；情绪变化是否充分由剧情推动，仍需结合台词与完整段落判断。</w:t>
      </w:r>
    </w:p>
    <w:p>
      <w:pPr>
        <w:pStyle w:val="Heading2"/>
      </w:pPr>
      <w:r>
        <w:t>The World Worth Living In</w:t>
      </w:r>
    </w:p>
    <w:p>
      <w:pPr>
        <w:spacing w:after="60"/>
      </w:pPr>
      <w:r>
        <w:t>哲学科幻与风格切换　07:18　720p　60.1 MiB</w:t>
      </w:r>
    </w:p>
    <w:p>
      <w:pPr>
        <w:spacing w:after="80"/>
      </w:pPr>
      <w:hyperlink r:id="rId19">
        <w:r>
          <w:rPr>
            <w:color w:val="215A83"/>
          </w:rPr>
          <w:t>官方项目与制作入口</w:t>
        </w:r>
      </w:hyperlink>
      <w:r>
        <w:t xml:space="preserve">　</w:t>
      </w:r>
      <w:hyperlink r:id="rId20">
        <w:r>
          <w:rPr>
            <w:color w:val="215A83"/>
          </w:rPr>
          <w:t>本地完整视频</w:t>
        </w:r>
      </w:hyperlink>
    </w:p>
    <w:p>
      <w:r>
        <w:drawing>
          <wp:inline xmlns:a="http://schemas.openxmlformats.org/drawingml/2006/main" xmlns:pic="http://schemas.openxmlformats.org/drawingml/2006/picture">
            <wp:extent cx="6080760" cy="1266825"/>
            <wp:docPr id="4" name="Picture 4"/>
            <wp:cNvGraphicFramePr>
              <a:graphicFrameLocks noChangeAspect="1"/>
            </wp:cNvGraphicFramePr>
            <a:graphic>
              <a:graphicData uri="http://schemas.openxmlformats.org/drawingml/2006/picture">
                <pic:pic>
                  <pic:nvPicPr>
                    <pic:cNvPr id="0" name="05_The_World_Worth_Living_In_strip.jpg"/>
                    <pic:cNvPicPr/>
                  </pic:nvPicPr>
                  <pic:blipFill>
                    <a:blip r:embed="rId21"/>
                    <a:stretch>
                      <a:fillRect/>
                    </a:stretch>
                  </pic:blipFill>
                  <pic:spPr>
                    <a:xfrm>
                      <a:off x="0" y="0"/>
                      <a:ext cx="6080760" cy="1266825"/>
                    </a:xfrm>
                    <a:prstGeom prst="rect"/>
                  </pic:spPr>
                </pic:pic>
              </a:graphicData>
            </a:graphic>
          </wp:inline>
        </w:drawing>
      </w:r>
    </w:p>
    <w:p>
      <w:pPr>
        <w:spacing w:after="80"/>
      </w:pPr>
      <w:r>
        <w:rPr>
          <w:b/>
        </w:rPr>
        <w:t>观察：</w:t>
      </w:r>
      <w:r>
        <w:t>00:18和00:54为复古卡通，01:31后转入白色空间与银色服装的写实人物；03:20至04:33的面部与抽象光效占据中心，呈现明确的视觉层次切换。</w:t>
      </w:r>
    </w:p>
    <w:p>
      <w:pPr>
        <w:spacing w:after="80"/>
      </w:pPr>
      <w:r>
        <w:rPr>
          <w:b/>
        </w:rPr>
        <w:t>学习重点：</w:t>
      </w:r>
      <w:r>
        <w:t>研究解释世界观的风格化序言与人物戏如何连接；观察对白近景是否真正增加信息。</w:t>
      </w:r>
    </w:p>
    <w:p>
      <w:pPr>
        <w:spacing w:after="80"/>
      </w:pPr>
      <w:r>
        <w:rPr>
          <w:b/>
        </w:rPr>
        <w:t>判断边界：</w:t>
      </w:r>
      <w:r>
        <w:t>开篇与后续风格变化可能是主动设计，不能一概称为画风漂移；抽帧无法评价台词节奏。</w:t>
      </w:r>
    </w:p>
    <w:p>
      <w:r>
        <w:br w:type="page"/>
      </w:r>
    </w:p>
    <w:p>
      <w:pPr>
        <w:pStyle w:val="Heading2"/>
      </w:pPr>
      <w:r>
        <w:t>BESA</w:t>
      </w:r>
    </w:p>
    <w:p>
      <w:pPr>
        <w:spacing w:after="60"/>
      </w:pPr>
      <w:r>
        <w:t>民俗传奇与家庭关系　10:31　720p　138.6 MiB</w:t>
      </w:r>
    </w:p>
    <w:p>
      <w:pPr>
        <w:spacing w:after="80"/>
      </w:pPr>
      <w:hyperlink r:id="rId22">
        <w:r>
          <w:rPr>
            <w:color w:val="215A83"/>
          </w:rPr>
          <w:t>官方项目与制作入口</w:t>
        </w:r>
      </w:hyperlink>
      <w:r>
        <w:t xml:space="preserve">　</w:t>
      </w:r>
      <w:hyperlink r:id="rId23">
        <w:r>
          <w:rPr>
            <w:color w:val="215A83"/>
          </w:rPr>
          <w:t>本地完整视频</w:t>
        </w:r>
      </w:hyperlink>
    </w:p>
    <w:p>
      <w:r>
        <w:drawing>
          <wp:inline xmlns:a="http://schemas.openxmlformats.org/drawingml/2006/main" xmlns:pic="http://schemas.openxmlformats.org/drawingml/2006/picture">
            <wp:extent cx="6080760" cy="1266825"/>
            <wp:docPr id="5" name="Picture 5"/>
            <wp:cNvGraphicFramePr>
              <a:graphicFrameLocks noChangeAspect="1"/>
            </wp:cNvGraphicFramePr>
            <a:graphic>
              <a:graphicData uri="http://schemas.openxmlformats.org/drawingml/2006/picture">
                <pic:pic>
                  <pic:nvPicPr>
                    <pic:cNvPr id="0" name="08_BESA_strip.jpg"/>
                    <pic:cNvPicPr/>
                  </pic:nvPicPr>
                  <pic:blipFill>
                    <a:blip r:embed="rId24"/>
                    <a:stretch>
                      <a:fillRect/>
                    </a:stretch>
                  </pic:blipFill>
                  <pic:spPr>
                    <a:xfrm>
                      <a:off x="0" y="0"/>
                      <a:ext cx="6080760" cy="1266825"/>
                    </a:xfrm>
                    <a:prstGeom prst="rect"/>
                  </pic:spPr>
                </pic:pic>
              </a:graphicData>
            </a:graphic>
          </wp:inline>
        </w:drawing>
      </w:r>
    </w:p>
    <w:p>
      <w:pPr>
        <w:spacing w:after="80"/>
      </w:pPr>
      <w:r>
        <w:rPr>
          <w:b/>
        </w:rPr>
        <w:t>观察：</w:t>
      </w:r>
      <w:r>
        <w:t>01:18为室内老年角色近景，03:04出现服装、马匹和石造建筑，05:41至07:27为低照度墓地与骑行段落，09:12回到人物接触的近景。</w:t>
      </w:r>
    </w:p>
    <w:p>
      <w:pPr>
        <w:spacing w:after="80"/>
      </w:pPr>
      <w:r>
        <w:rPr>
          <w:b/>
        </w:rPr>
        <w:t>学习重点：</w:t>
      </w:r>
      <w:r>
        <w:t>学习用服装、建筑和有限道具建立地方性；重点复看夜景的空间辨识和情绪连接。</w:t>
      </w:r>
    </w:p>
    <w:p>
      <w:pPr>
        <w:spacing w:after="80"/>
      </w:pPr>
      <w:r>
        <w:rPr>
          <w:b/>
        </w:rPr>
        <w:t>判断边界：</w:t>
      </w:r>
      <w:r>
        <w:t>媒体称其与阿尔巴尼亚故事有关，不能据此推断全体团队国籍。夜景压缩和亮度会影响观看判断。</w:t>
      </w:r>
    </w:p>
    <w:p>
      <w:pPr>
        <w:pStyle w:val="Heading2"/>
      </w:pPr>
      <w:r>
        <w:t>Fallen Leaves</w:t>
      </w:r>
    </w:p>
    <w:p>
      <w:pPr>
        <w:spacing w:after="60"/>
      </w:pPr>
      <w:r>
        <w:t>古装写实与动作　05:39　720p　80.1 MiB</w:t>
      </w:r>
    </w:p>
    <w:p>
      <w:pPr>
        <w:spacing w:after="80"/>
      </w:pPr>
      <w:hyperlink r:id="rId25">
        <w:r>
          <w:rPr>
            <w:color w:val="215A83"/>
          </w:rPr>
          <w:t>官方项目与制作入口</w:t>
        </w:r>
      </w:hyperlink>
      <w:r>
        <w:t xml:space="preserve">　</w:t>
      </w:r>
      <w:hyperlink r:id="rId26">
        <w:r>
          <w:rPr>
            <w:color w:val="215A83"/>
          </w:rPr>
          <w:t>本地完整视频</w:t>
        </w:r>
      </w:hyperlink>
    </w:p>
    <w:p>
      <w:r>
        <w:drawing>
          <wp:inline xmlns:a="http://schemas.openxmlformats.org/drawingml/2006/main" xmlns:pic="http://schemas.openxmlformats.org/drawingml/2006/picture">
            <wp:extent cx="6080760" cy="1266825"/>
            <wp:docPr id="6" name="Picture 6"/>
            <wp:cNvGraphicFramePr>
              <a:graphicFrameLocks noChangeAspect="1"/>
            </wp:cNvGraphicFramePr>
            <a:graphic>
              <a:graphicData uri="http://schemas.openxmlformats.org/drawingml/2006/picture">
                <pic:pic>
                  <pic:nvPicPr>
                    <pic:cNvPr id="0" name="09_Fallen_Leaves_strip.jpg"/>
                    <pic:cNvPicPr/>
                  </pic:nvPicPr>
                  <pic:blipFill>
                    <a:blip r:embed="rId27"/>
                    <a:stretch>
                      <a:fillRect/>
                    </a:stretch>
                  </pic:blipFill>
                  <pic:spPr>
                    <a:xfrm>
                      <a:off x="0" y="0"/>
                      <a:ext cx="6080760" cy="1266825"/>
                    </a:xfrm>
                    <a:prstGeom prst="rect"/>
                  </pic:spPr>
                </pic:pic>
              </a:graphicData>
            </a:graphic>
          </wp:inline>
        </w:drawing>
      </w:r>
    </w:p>
    <w:p>
      <w:pPr>
        <w:spacing w:after="80"/>
      </w:pPr>
      <w:r>
        <w:rPr>
          <w:b/>
        </w:rPr>
        <w:t>观察：</w:t>
      </w:r>
      <w:r>
        <w:t>00:14至01:10以人物受威胁及刀具特写建立风险；01:38和02:07抽样落在明显运动模糊上，02:35转为雪林中的奔跑；04:00和04:28出现近距离关系镜头。</w:t>
      </w:r>
    </w:p>
    <w:p>
      <w:pPr>
        <w:spacing w:after="80"/>
      </w:pPr>
      <w:r>
        <w:rPr>
          <w:b/>
        </w:rPr>
        <w:t>学习重点：</w:t>
      </w:r>
      <w:r>
        <w:t>研究以少量环境、道具和动作连接紧张场面；历史质感不能替代人物情绪。</w:t>
      </w:r>
    </w:p>
    <w:p>
      <w:pPr>
        <w:spacing w:after="80"/>
      </w:pPr>
      <w:r>
        <w:rPr>
          <w:b/>
        </w:rPr>
        <w:t>判断边界：</w:t>
      </w:r>
      <w:r>
        <w:t>运动模糊不自动等于生成故障，必须连续播放判定。日文片名和古装外观不证明作者国籍或历史准确。</w:t>
      </w:r>
    </w:p>
    <w:p>
      <w:r>
        <w:br w:type="page"/>
      </w:r>
    </w:p>
    <w:p>
      <w:pPr>
        <w:pStyle w:val="Heading2"/>
      </w:pPr>
      <w:r>
        <w:t>BALLAST</w:t>
      </w:r>
    </w:p>
    <w:p>
      <w:pPr>
        <w:spacing w:after="60"/>
      </w:pPr>
      <w:r>
        <w:t>风格化动物动画　07:06　720p　73.4 MiB</w:t>
      </w:r>
    </w:p>
    <w:p>
      <w:pPr>
        <w:spacing w:after="80"/>
      </w:pPr>
      <w:hyperlink r:id="rId28">
        <w:r>
          <w:rPr>
            <w:color w:val="215A83"/>
          </w:rPr>
          <w:t>官方项目与制作入口</w:t>
        </w:r>
      </w:hyperlink>
      <w:r>
        <w:t xml:space="preserve">　</w:t>
      </w:r>
      <w:hyperlink r:id="rId29">
        <w:r>
          <w:rPr>
            <w:color w:val="215A83"/>
          </w:rPr>
          <w:t>本地完整视频</w:t>
        </w:r>
      </w:hyperlink>
    </w:p>
    <w:p>
      <w:r>
        <w:drawing>
          <wp:inline xmlns:a="http://schemas.openxmlformats.org/drawingml/2006/main" xmlns:pic="http://schemas.openxmlformats.org/drawingml/2006/picture">
            <wp:extent cx="6080760" cy="1266825"/>
            <wp:docPr id="7" name="Picture 7"/>
            <wp:cNvGraphicFramePr>
              <a:graphicFrameLocks noChangeAspect="1"/>
            </wp:cNvGraphicFramePr>
            <a:graphic>
              <a:graphicData uri="http://schemas.openxmlformats.org/drawingml/2006/picture">
                <pic:pic>
                  <pic:nvPicPr>
                    <pic:cNvPr id="0" name="10_BALLAST_strip.jpg"/>
                    <pic:cNvPicPr/>
                  </pic:nvPicPr>
                  <pic:blipFill>
                    <a:blip r:embed="rId30"/>
                    <a:stretch>
                      <a:fillRect/>
                    </a:stretch>
                  </pic:blipFill>
                  <pic:spPr>
                    <a:xfrm>
                      <a:off x="0" y="0"/>
                      <a:ext cx="6080760" cy="1266825"/>
                    </a:xfrm>
                    <a:prstGeom prst="rect"/>
                  </pic:spPr>
                </pic:pic>
              </a:graphicData>
            </a:graphic>
          </wp:inline>
        </w:drawing>
      </w:r>
    </w:p>
    <w:p>
      <w:pPr>
        <w:spacing w:after="80"/>
      </w:pPr>
      <w:r>
        <w:rPr>
          <w:b/>
        </w:rPr>
        <w:t>观察：</w:t>
      </w:r>
      <w:r>
        <w:t>00:53的鸟群与寄居蟹构成清楚的主体对照，02:04与03:15可见用杂物制作的翼状装置，03:50进入水下，05:37出现两个蟹类角色，06:48以海滩物件收尾。</w:t>
      </w:r>
    </w:p>
    <w:p>
      <w:pPr>
        <w:spacing w:after="80"/>
      </w:pPr>
      <w:r>
        <w:rPr>
          <w:b/>
        </w:rPr>
        <w:t>学习重点：</w:t>
      </w:r>
      <w:r>
        <w:t>适合先研究角色轮廓、道具变化和色彩情绪，再研究声音怎样支持行动。</w:t>
      </w:r>
    </w:p>
    <w:p>
      <w:pPr>
        <w:spacing w:after="80"/>
      </w:pPr>
      <w:r>
        <w:rPr>
          <w:b/>
        </w:rPr>
        <w:t>判断边界：</w:t>
      </w:r>
      <w:r>
        <w:t>抽样中06:13是黑场，不能据此认定文件损坏或剪辑错误；需要连续观看其前后意图。</w:t>
      </w:r>
    </w:p>
    <w:p>
      <w:pPr>
        <w:pStyle w:val="Heading2"/>
      </w:pPr>
      <w:r>
        <w:t>Detour</w:t>
      </w:r>
    </w:p>
    <w:p>
      <w:pPr>
        <w:spacing w:after="60"/>
      </w:pPr>
      <w:r>
        <w:t>公路奇幻与动作喜剧　11:18　720p　193.4 MiB</w:t>
      </w:r>
    </w:p>
    <w:p>
      <w:pPr>
        <w:spacing w:after="80"/>
      </w:pPr>
      <w:hyperlink r:id="rId31">
        <w:r>
          <w:rPr>
            <w:color w:val="215A83"/>
          </w:rPr>
          <w:t>官方项目与制作入口</w:t>
        </w:r>
      </w:hyperlink>
      <w:r>
        <w:t xml:space="preserve">　</w:t>
      </w:r>
      <w:hyperlink r:id="rId32">
        <w:r>
          <w:rPr>
            <w:color w:val="215A83"/>
          </w:rPr>
          <w:t>本地完整视频</w:t>
        </w:r>
      </w:hyperlink>
    </w:p>
    <w:p>
      <w:r>
        <w:drawing>
          <wp:inline xmlns:a="http://schemas.openxmlformats.org/drawingml/2006/main" xmlns:pic="http://schemas.openxmlformats.org/drawingml/2006/picture">
            <wp:extent cx="6080760" cy="1266825"/>
            <wp:docPr id="8" name="Picture 8"/>
            <wp:cNvGraphicFramePr>
              <a:graphicFrameLocks noChangeAspect="1"/>
            </wp:cNvGraphicFramePr>
            <a:graphic>
              <a:graphicData uri="http://schemas.openxmlformats.org/drawingml/2006/picture">
                <pic:pic>
                  <pic:nvPicPr>
                    <pic:cNvPr id="0" name="11_Detour_strip.jpg"/>
                    <pic:cNvPicPr/>
                  </pic:nvPicPr>
                  <pic:blipFill>
                    <a:blip r:embed="rId33"/>
                    <a:stretch>
                      <a:fillRect/>
                    </a:stretch>
                  </pic:blipFill>
                  <pic:spPr>
                    <a:xfrm>
                      <a:off x="0" y="0"/>
                      <a:ext cx="6080760" cy="1266825"/>
                    </a:xfrm>
                    <a:prstGeom prst="rect"/>
                  </pic:spPr>
                </pic:pic>
              </a:graphicData>
            </a:graphic>
          </wp:inline>
        </w:drawing>
      </w:r>
    </w:p>
    <w:p>
      <w:pPr>
        <w:spacing w:after="80"/>
      </w:pPr>
      <w:r>
        <w:rPr>
          <w:b/>
        </w:rPr>
        <w:t>观察：</w:t>
      </w:r>
      <w:r>
        <w:t>01:24为拥堵道路，02:21以手机导航特写引出路线信息；03:17的隧道口、04:14的燃烧环境、08:57的室内骑行与09:53的废墟持续改变场景，黄色外套与摩托车帮助辨认主角。</w:t>
      </w:r>
    </w:p>
    <w:p>
      <w:pPr>
        <w:spacing w:after="80"/>
      </w:pPr>
      <w:r>
        <w:rPr>
          <w:b/>
        </w:rPr>
        <w:t>学习重点：</w:t>
      </w:r>
      <w:r>
        <w:t>研究高速场景变化中如何保留人物识别；复看视线、道路方向和车辆运动的连接。</w:t>
      </w:r>
    </w:p>
    <w:p>
      <w:pPr>
        <w:spacing w:after="80"/>
      </w:pPr>
      <w:r>
        <w:rPr>
          <w:b/>
        </w:rPr>
        <w:t>判断边界：</w:t>
      </w:r>
      <w:r>
        <w:t>场景切换复杂，抽帧不能证明空间逻辑全部成立；不能因东亚角色与街景直接归类为中国作品。</w:t>
      </w:r>
    </w:p>
    <w:p>
      <w:r>
        <w:br w:type="page"/>
      </w:r>
    </w:p>
    <w:p>
      <w:pPr>
        <w:pStyle w:val="Heading2"/>
      </w:pPr>
      <w:r>
        <w:t>The Tortoise and the Hare</w:t>
      </w:r>
    </w:p>
    <w:p>
      <w:pPr>
        <w:spacing w:after="60"/>
      </w:pPr>
      <w:r>
        <w:t>拟人动物奇幻动作　04:04　720p　62.7 MiB</w:t>
      </w:r>
    </w:p>
    <w:p>
      <w:pPr>
        <w:spacing w:after="80"/>
      </w:pPr>
      <w:hyperlink r:id="rId34">
        <w:r>
          <w:rPr>
            <w:color w:val="215A83"/>
          </w:rPr>
          <w:t>官方项目与制作入口</w:t>
        </w:r>
      </w:hyperlink>
      <w:r>
        <w:t xml:space="preserve">　</w:t>
      </w:r>
      <w:hyperlink r:id="rId35">
        <w:r>
          <w:rPr>
            <w:color w:val="215A83"/>
          </w:rPr>
          <w:t>本地完整视频</w:t>
        </w:r>
      </w:hyperlink>
    </w:p>
    <w:p>
      <w:r>
        <w:drawing>
          <wp:inline xmlns:a="http://schemas.openxmlformats.org/drawingml/2006/main" xmlns:pic="http://schemas.openxmlformats.org/drawingml/2006/picture">
            <wp:extent cx="6080760" cy="1266825"/>
            <wp:docPr id="9" name="Picture 9"/>
            <wp:cNvGraphicFramePr>
              <a:graphicFrameLocks noChangeAspect="1"/>
            </wp:cNvGraphicFramePr>
            <a:graphic>
              <a:graphicData uri="http://schemas.openxmlformats.org/drawingml/2006/picture">
                <pic:pic>
                  <pic:nvPicPr>
                    <pic:cNvPr id="0" name="12_The_Tortoise_and_the_Hare_strip.jpg"/>
                    <pic:cNvPicPr/>
                  </pic:nvPicPr>
                  <pic:blipFill>
                    <a:blip r:embed="rId36"/>
                    <a:stretch>
                      <a:fillRect/>
                    </a:stretch>
                  </pic:blipFill>
                  <pic:spPr>
                    <a:xfrm>
                      <a:off x="0" y="0"/>
                      <a:ext cx="6080760" cy="1266825"/>
                    </a:xfrm>
                    <a:prstGeom prst="rect"/>
                  </pic:spPr>
                </pic:pic>
              </a:graphicData>
            </a:graphic>
          </wp:inline>
        </w:drawing>
      </w:r>
    </w:p>
    <w:p>
      <w:pPr>
        <w:spacing w:after="80"/>
      </w:pPr>
      <w:r>
        <w:rPr>
          <w:b/>
        </w:rPr>
        <w:t>观察：</w:t>
      </w:r>
      <w:r>
        <w:t>00:10为有服装装备的兔类角色，00:50和01:31以墓室及窄缝光建立空间；02:12、02:32出现对抗，02:52和03:33用面部与眼睛特写改变观看尺度。</w:t>
      </w:r>
    </w:p>
    <w:p>
      <w:pPr>
        <w:spacing w:after="80"/>
      </w:pPr>
      <w:r>
        <w:rPr>
          <w:b/>
        </w:rPr>
        <w:t>学习重点：</w:t>
      </w:r>
      <w:r>
        <w:t>学习以角色轮廓、服装和明确光源建立奇幻世界；关注小空间动作戏的机位选择。</w:t>
      </w:r>
    </w:p>
    <w:p>
      <w:pPr>
        <w:spacing w:after="80"/>
      </w:pPr>
      <w:r>
        <w:rPr>
          <w:b/>
        </w:rPr>
        <w:t>判断边界：</w:t>
      </w:r>
      <w:r>
        <w:t>片页标题与片尾标题顺序不同，目录保留官方项目标题。抽帧不能评价口型或武器接触是否连贯。</w:t>
      </w:r>
    </w:p>
    <w:p>
      <w:pPr>
        <w:pStyle w:val="Heading2"/>
      </w:pPr>
      <w:r>
        <w:t>AZUL COBALTO</w:t>
      </w:r>
    </w:p>
    <w:p>
      <w:pPr>
        <w:spacing w:after="60"/>
      </w:pPr>
      <w:r>
        <w:t>地方街区与魔幻现实　05:39　720p　92.0 MiB</w:t>
      </w:r>
    </w:p>
    <w:p>
      <w:pPr>
        <w:spacing w:after="80"/>
      </w:pPr>
      <w:hyperlink r:id="rId37">
        <w:r>
          <w:rPr>
            <w:color w:val="215A83"/>
          </w:rPr>
          <w:t>官方项目与制作入口</w:t>
        </w:r>
      </w:hyperlink>
      <w:r>
        <w:t xml:space="preserve">　</w:t>
      </w:r>
      <w:hyperlink r:id="rId38">
        <w:r>
          <w:rPr>
            <w:color w:val="215A83"/>
          </w:rPr>
          <w:t>本地完整视频</w:t>
        </w:r>
      </w:hyperlink>
    </w:p>
    <w:p>
      <w:r>
        <w:drawing>
          <wp:inline xmlns:a="http://schemas.openxmlformats.org/drawingml/2006/main" xmlns:pic="http://schemas.openxmlformats.org/drawingml/2006/picture">
            <wp:extent cx="6080760" cy="1266825"/>
            <wp:docPr id="10" name="Picture 10"/>
            <wp:cNvGraphicFramePr>
              <a:graphicFrameLocks noChangeAspect="1"/>
            </wp:cNvGraphicFramePr>
            <a:graphic>
              <a:graphicData uri="http://schemas.openxmlformats.org/drawingml/2006/picture">
                <pic:pic>
                  <pic:nvPicPr>
                    <pic:cNvPr id="0" name="13_AZUL_COBALTO_strip.jpg"/>
                    <pic:cNvPicPr/>
                  </pic:nvPicPr>
                  <pic:blipFill>
                    <a:blip r:embed="rId39"/>
                    <a:stretch>
                      <a:fillRect/>
                    </a:stretch>
                  </pic:blipFill>
                  <pic:spPr>
                    <a:xfrm>
                      <a:off x="0" y="0"/>
                      <a:ext cx="6080760" cy="1266825"/>
                    </a:xfrm>
                    <a:prstGeom prst="rect"/>
                  </pic:spPr>
                </pic:pic>
              </a:graphicData>
            </a:graphic>
          </wp:inline>
        </w:drawing>
      </w:r>
    </w:p>
    <w:p>
      <w:pPr>
        <w:spacing w:after="80"/>
      </w:pPr>
      <w:r>
        <w:rPr>
          <w:b/>
        </w:rPr>
        <w:t>观察：</w:t>
      </w:r>
      <w:r>
        <w:t>00:42街头双人对话、01:10的电话近景、01:39的室内双人构图与03:03的街道俯拍形成日常空间；03:32与04:28的身体或物件异化引入奇异元素。</w:t>
      </w:r>
    </w:p>
    <w:p>
      <w:pPr>
        <w:spacing w:after="80"/>
      </w:pPr>
      <w:r>
        <w:rPr>
          <w:b/>
        </w:rPr>
        <w:t>学习重点：</w:t>
      </w:r>
      <w:r>
        <w:t>研究生活化场景与超现实事件的组合，避免只靠宏大奇观来展示AI能力。</w:t>
      </w:r>
    </w:p>
    <w:p>
      <w:pPr>
        <w:spacing w:after="80"/>
      </w:pPr>
      <w:r>
        <w:rPr>
          <w:b/>
        </w:rPr>
        <w:t>判断边界：</w:t>
      </w:r>
      <w:r>
        <w:t>项目页将背景定位为马德里Usera，亚洲面孔和中文招牌不能用于判定影片国别。</w:t>
      </w:r>
    </w:p>
    <w:p>
      <w:r>
        <w:br w:type="page"/>
      </w:r>
    </w:p>
    <w:p>
      <w:pPr>
        <w:pStyle w:val="Heading2"/>
      </w:pPr>
      <w:r>
        <w:t>Count of Three</w:t>
      </w:r>
    </w:p>
    <w:p>
      <w:pPr>
        <w:spacing w:after="60"/>
      </w:pPr>
      <w:r>
        <w:t>架空世界与成长关系　11:08　720p　153.1 MiB</w:t>
      </w:r>
    </w:p>
    <w:p>
      <w:pPr>
        <w:spacing w:after="80"/>
      </w:pPr>
      <w:hyperlink r:id="rId40">
        <w:r>
          <w:rPr>
            <w:color w:val="215A83"/>
          </w:rPr>
          <w:t>官方项目与制作入口</w:t>
        </w:r>
      </w:hyperlink>
      <w:r>
        <w:t xml:space="preserve">　</w:t>
      </w:r>
      <w:hyperlink r:id="rId41">
        <w:r>
          <w:rPr>
            <w:color w:val="215A83"/>
          </w:rPr>
          <w:t>本地完整视频</w:t>
        </w:r>
      </w:hyperlink>
    </w:p>
    <w:p>
      <w:r>
        <w:drawing>
          <wp:inline xmlns:a="http://schemas.openxmlformats.org/drawingml/2006/main" xmlns:pic="http://schemas.openxmlformats.org/drawingml/2006/picture">
            <wp:extent cx="6080760" cy="1266825"/>
            <wp:docPr id="11" name="Picture 11"/>
            <wp:cNvGraphicFramePr>
              <a:graphicFrameLocks noChangeAspect="1"/>
            </wp:cNvGraphicFramePr>
            <a:graphic>
              <a:graphicData uri="http://schemas.openxmlformats.org/drawingml/2006/picture">
                <pic:pic>
                  <pic:nvPicPr>
                    <pic:cNvPr id="0" name="14_Count_of_Three_strip.jpg"/>
                    <pic:cNvPicPr/>
                  </pic:nvPicPr>
                  <pic:blipFill>
                    <a:blip r:embed="rId42"/>
                    <a:stretch>
                      <a:fillRect/>
                    </a:stretch>
                  </pic:blipFill>
                  <pic:spPr>
                    <a:xfrm>
                      <a:off x="0" y="0"/>
                      <a:ext cx="6080760" cy="1266825"/>
                    </a:xfrm>
                    <a:prstGeom prst="rect"/>
                  </pic:spPr>
                </pic:pic>
              </a:graphicData>
            </a:graphic>
          </wp:inline>
        </w:drawing>
      </w:r>
    </w:p>
    <w:p>
      <w:pPr>
        <w:spacing w:after="80"/>
      </w:pPr>
      <w:r>
        <w:rPr>
          <w:b/>
        </w:rPr>
        <w:t>观察：</w:t>
      </w:r>
      <w:r>
        <w:t>00:27以巨大墙体和人群建立尺度，01:23与02:19聚焦少年及两人关系；05:06和06:02转入寒冷暗色环境，10:40出现强光中的面部近景。衣服、色温与尺度共同组织视觉层次。</w:t>
      </w:r>
    </w:p>
    <w:p>
      <w:pPr>
        <w:spacing w:after="80"/>
      </w:pPr>
      <w:r>
        <w:rPr>
          <w:b/>
        </w:rPr>
        <w:t>学习重点：</w:t>
      </w:r>
      <w:r>
        <w:t>研究长于常规投稿推荐时长的作品如何重复并改变人物关系；对照远景的世界设定与近景的情绪负担。</w:t>
      </w:r>
    </w:p>
    <w:p>
      <w:pPr>
        <w:spacing w:after="80"/>
      </w:pPr>
      <w:r>
        <w:rPr>
          <w:b/>
        </w:rPr>
        <w:t>判断边界：</w:t>
      </w:r>
      <w:r>
        <w:t>人物成长、时间跳转和情绪是否连贯需要连续观看；不按少年面孔或服装推断国家。</w:t>
      </w:r>
    </w:p>
    <w:p>
      <w:pPr>
        <w:pStyle w:val="Heading2"/>
      </w:pPr>
      <w:r>
        <w:t>Rest Face</w:t>
      </w:r>
    </w:p>
    <w:p>
      <w:pPr>
        <w:spacing w:after="60"/>
      </w:pPr>
      <w:r>
        <w:t>风格化人物与社会寓言　04:59　720p　76.5 MiB</w:t>
      </w:r>
    </w:p>
    <w:p>
      <w:pPr>
        <w:spacing w:after="80"/>
      </w:pPr>
      <w:hyperlink r:id="rId43">
        <w:r>
          <w:rPr>
            <w:color w:val="215A83"/>
          </w:rPr>
          <w:t>官方项目与制作入口</w:t>
        </w:r>
      </w:hyperlink>
      <w:r>
        <w:t xml:space="preserve">　</w:t>
      </w:r>
      <w:hyperlink r:id="rId44">
        <w:r>
          <w:rPr>
            <w:color w:val="215A83"/>
          </w:rPr>
          <w:t>本地完整视频</w:t>
        </w:r>
      </w:hyperlink>
    </w:p>
    <w:p>
      <w:r>
        <w:drawing>
          <wp:inline xmlns:a="http://schemas.openxmlformats.org/drawingml/2006/main" xmlns:pic="http://schemas.openxmlformats.org/drawingml/2006/picture">
            <wp:extent cx="6080760" cy="1266825"/>
            <wp:docPr id="12" name="Picture 12"/>
            <wp:cNvGraphicFramePr>
              <a:graphicFrameLocks noChangeAspect="1"/>
            </wp:cNvGraphicFramePr>
            <a:graphic>
              <a:graphicData uri="http://schemas.openxmlformats.org/drawingml/2006/picture">
                <pic:pic>
                  <pic:nvPicPr>
                    <pic:cNvPr id="0" name="15_Rest_Face_strip.jpg"/>
                    <pic:cNvPicPr/>
                  </pic:nvPicPr>
                  <pic:blipFill>
                    <a:blip r:embed="rId45"/>
                    <a:stretch>
                      <a:fillRect/>
                    </a:stretch>
                  </pic:blipFill>
                  <pic:spPr>
                    <a:xfrm>
                      <a:off x="0" y="0"/>
                      <a:ext cx="6080760" cy="1266825"/>
                    </a:xfrm>
                    <a:prstGeom prst="rect"/>
                  </pic:spPr>
                </pic:pic>
              </a:graphicData>
            </a:graphic>
          </wp:inline>
        </w:drawing>
      </w:r>
    </w:p>
    <w:p>
      <w:pPr>
        <w:spacing w:after="80"/>
      </w:pPr>
      <w:r>
        <w:rPr>
          <w:b/>
        </w:rPr>
        <w:t>观察：</w:t>
      </w:r>
      <w:r>
        <w:t>00:37与04:47可见相似的夸张笑脸，01:27出现同类人物的悲伤表情；02:17用编号道具建立信息，03:32的金色室外与整体绿色阴暗空间形成反差。</w:t>
      </w:r>
    </w:p>
    <w:p>
      <w:pPr>
        <w:spacing w:after="80"/>
      </w:pPr>
      <w:r>
        <w:rPr>
          <w:b/>
        </w:rPr>
        <w:t>学习重点：</w:t>
      </w:r>
      <w:r>
        <w:t>适合研究表情成为主题符号的方式，以及美术如何区分现实和另一种情绪空间。</w:t>
      </w:r>
    </w:p>
    <w:p>
      <w:pPr>
        <w:spacing w:after="80"/>
      </w:pPr>
      <w:r>
        <w:rPr>
          <w:b/>
        </w:rPr>
        <w:t>判断边界：</w:t>
      </w:r>
      <w:r>
        <w:t>静态表情变化明确，但口型、表演过渡和声音感染力未作完整视听评分。</w:t>
      </w:r>
    </w:p>
    <w:p>
      <w:r>
        <w:br w:type="page"/>
      </w:r>
    </w:p>
    <w:p>
      <w:pPr>
        <w:pStyle w:val="Heading2"/>
      </w:pPr>
      <w:r>
        <w:t>HELL GRIND</w:t>
      </w:r>
    </w:p>
    <w:p>
      <w:pPr>
        <w:spacing w:after="60"/>
      </w:pPr>
      <w:r>
        <w:t>官方长片参考 非普通参赛样本　95:59　480p　553.8 MiB</w:t>
      </w:r>
    </w:p>
    <w:p>
      <w:pPr>
        <w:spacing w:after="80"/>
      </w:pPr>
      <w:hyperlink r:id="rId46">
        <w:r>
          <w:rPr>
            <w:color w:val="215A83"/>
          </w:rPr>
          <w:t>官方项目与制作入口</w:t>
        </w:r>
      </w:hyperlink>
      <w:r>
        <w:t xml:space="preserve">　</w:t>
      </w:r>
      <w:hyperlink r:id="rId47">
        <w:r>
          <w:rPr>
            <w:color w:val="215A83"/>
          </w:rPr>
          <w:t>本地完整视频</w:t>
        </w:r>
      </w:hyperlink>
    </w:p>
    <w:p>
      <w:r>
        <w:drawing>
          <wp:inline xmlns:a="http://schemas.openxmlformats.org/drawingml/2006/main" xmlns:pic="http://schemas.openxmlformats.org/drawingml/2006/picture">
            <wp:extent cx="6080760" cy="1266825"/>
            <wp:docPr id="13" name="Picture 13"/>
            <wp:cNvGraphicFramePr>
              <a:graphicFrameLocks noChangeAspect="1"/>
            </wp:cNvGraphicFramePr>
            <a:graphic>
              <a:graphicData uri="http://schemas.openxmlformats.org/drawingml/2006/picture">
                <pic:pic>
                  <pic:nvPicPr>
                    <pic:cNvPr id="0" name="07_HELL_GRIND_strip.jpg"/>
                    <pic:cNvPicPr/>
                  </pic:nvPicPr>
                  <pic:blipFill>
                    <a:blip r:embed="rId48"/>
                    <a:stretch>
                      <a:fillRect/>
                    </a:stretch>
                  </pic:blipFill>
                  <pic:spPr>
                    <a:xfrm>
                      <a:off x="0" y="0"/>
                      <a:ext cx="6080760" cy="1266825"/>
                    </a:xfrm>
                    <a:prstGeom prst="rect"/>
                  </pic:spPr>
                </pic:pic>
              </a:graphicData>
            </a:graphic>
          </wp:inline>
        </w:drawing>
      </w:r>
    </w:p>
    <w:p>
      <w:pPr>
        <w:spacing w:after="80"/>
      </w:pPr>
      <w:r>
        <w:rPr>
          <w:b/>
        </w:rPr>
        <w:t>观察：</w:t>
      </w:r>
      <w:r>
        <w:t>03:59、11:59与27:59可见人物近景，43:59转入石造空间的动作，51:59又出现室内双人场景，67:59至83:59包含怪物和对抗画面。多场景与反复角色已能组成长时长文件。</w:t>
      </w:r>
    </w:p>
    <w:p>
      <w:pPr>
        <w:spacing w:after="80"/>
      </w:pPr>
      <w:r>
        <w:rPr>
          <w:b/>
        </w:rPr>
        <w:t>学习重点：</w:t>
      </w:r>
      <w:r>
        <w:t>适合研究长片如何在人物段落与动作奇观之间切换；官方项目声称公开流程，可进一步对照其制作资产。</w:t>
      </w:r>
    </w:p>
    <w:p>
      <w:pPr>
        <w:spacing w:after="80"/>
      </w:pPr>
      <w:r>
        <w:rPr>
          <w:b/>
        </w:rPr>
        <w:t>判断边界：</w:t>
      </w:r>
      <w:r>
        <w:t>本地实测约96分钟。仅抽取12个时间点，不能据此评价全片叙事、声音、表演与观众完成率；480p版本不适合做影院画质判断。</w:t>
      </w:r>
    </w:p>
    <w:p>
      <w:r>
        <w:br w:type="page"/>
      </w:r>
    </w:p>
    <w:p>
      <w:pPr>
        <w:pStyle w:val="Heading1"/>
      </w:pPr>
      <w:r>
        <w:t>未计入本地完整片数量的项目</w:t>
      </w:r>
    </w:p>
    <w:p>
      <w:hyperlink r:id="rId49">
        <w:r>
          <w:rPr>
            <w:color w:val="215A83"/>
          </w:rPr>
          <w:t>PLAY</w:t>
        </w:r>
      </w:hyperlink>
      <w:r>
        <w:t>。本次页面中只解析到10秒预览，未作为完整片下载。</w:t>
      </w:r>
    </w:p>
    <w:p>
      <w:hyperlink r:id="rId50">
        <w:r>
          <w:rPr>
            <w:color w:val="215A83"/>
          </w:rPr>
          <w:t>ZEPHYR</w:t>
        </w:r>
      </w:hyperlink>
      <w:r>
        <w:t>。本次项目页只解析到短预览；不把它算作完整示范片。</w:t>
      </w:r>
    </w:p>
    <w:p>
      <w:hyperlink r:id="rId51">
        <w:r>
          <w:rPr>
            <w:color w:val="215A83"/>
          </w:rPr>
          <w:t>THE THREAD</w:t>
        </w:r>
      </w:hyperlink>
      <w:r>
        <w:t>。项目页存在约11分36秒媒体描述，但此次未完成下载，保留在线入口。</w:t>
      </w:r>
    </w:p>
    <w:p>
      <w:pPr>
        <w:pStyle w:val="Heading1"/>
      </w:pPr>
      <w:r>
        <w:t>国际及中国对照观看入口</w:t>
      </w:r>
    </w:p>
    <w:p>
      <w:hyperlink r:id="rId52">
        <w:r>
          <w:rPr>
            <w:color w:val="215A83"/>
          </w:rPr>
          <w:t>Runway官方放映室</w:t>
        </w:r>
      </w:hyperlink>
      <w:r>
        <w:t>。含Total Pixel Space、JAILBIRD、ONE等2025获奖作品，用于比较不同赛事认可的表达方式。</w:t>
      </w:r>
    </w:p>
    <w:p>
      <w:hyperlink r:id="rId53">
        <w:r>
          <w:rPr>
            <w:color w:val="215A83"/>
          </w:rPr>
          <w:t>上海国际电影节四组作品</w:t>
        </w:r>
      </w:hyperlink>
      <w:r>
        <w:t>。含愿力司、活下来的碎片、机器之心、我能的官方介绍；文中指向百视通线上展映，未取得可下载完整文件。</w:t>
      </w:r>
    </w:p>
    <w:p>
      <w:hyperlink r:id="rId54">
        <w:r>
          <w:rPr>
            <w:color w:val="215A83"/>
          </w:rPr>
          <w:t>ANCESTRA制作资料</w:t>
        </w:r>
      </w:hyperlink>
      <w:r>
        <w:t>。实拍与生成视效融合案例。</w:t>
      </w:r>
    </w:p>
    <w:p>
      <w:hyperlink r:id="rId55">
        <w:r>
          <w:rPr>
            <w:color w:val="215A83"/>
          </w:rPr>
          <w:t>Dear Upstairs Neighbors制作资料</w:t>
        </w:r>
      </w:hyperlink>
      <w:r>
        <w:t>。专业动画与AI定制流程案例。</w:t>
      </w:r>
    </w:p>
    <w:p>
      <w:pPr>
        <w:pStyle w:val="Heading1"/>
      </w:pPr>
      <w:r>
        <w:t>来源与复核入口</w:t>
      </w:r>
    </w:p>
    <w:p>
      <w:r>
        <w:t>检索日期均为2026年9月28日。正式规则优先于博客；作品页用于确认影片身份和公开素材；具名制作叙述保留其自述性质。各片项目来源另列于影片目录。</w:t>
      </w:r>
    </w:p>
    <w:p>
      <w:pPr>
        <w:spacing w:after="100"/>
      </w:pPr>
      <w:r>
        <w:t xml:space="preserve">S01　</w:t>
      </w:r>
      <w:hyperlink r:id="rId56">
        <w:r>
          <w:rPr>
            <w:color w:val="215A83"/>
          </w:rPr>
          <w:t>Higgsfield 2026 正式规则 9月16日更新</w:t>
        </w:r>
      </w:hyperlink>
    </w:p>
    <w:p>
      <w:pPr>
        <w:spacing w:after="100"/>
      </w:pPr>
      <w:r>
        <w:t xml:space="preserve">S02　</w:t>
      </w:r>
      <w:hyperlink r:id="rId57">
        <w:r>
          <w:rPr>
            <w:color w:val="215A83"/>
          </w:rPr>
          <w:t>Higgsfield 官方赛程</w:t>
        </w:r>
      </w:hyperlink>
    </w:p>
    <w:p>
      <w:pPr>
        <w:spacing w:after="100"/>
      </w:pPr>
      <w:r>
        <w:t xml:space="preserve">S03　</w:t>
      </w:r>
      <w:hyperlink r:id="rId58">
        <w:r>
          <w:rPr>
            <w:color w:val="215A83"/>
          </w:rPr>
          <w:t>Higgsfield 投稿指南及参考项目</w:t>
        </w:r>
      </w:hyperlink>
    </w:p>
    <w:p>
      <w:pPr>
        <w:spacing w:after="100"/>
      </w:pPr>
      <w:r>
        <w:t xml:space="preserve">S04　</w:t>
      </w:r>
      <w:hyperlink r:id="rId59">
        <w:r>
          <w:rPr>
            <w:color w:val="215A83"/>
          </w:rPr>
          <w:t>Runway AIFF 2025 官方获奖名单及规则</w:t>
        </w:r>
      </w:hyperlink>
    </w:p>
    <w:p>
      <w:pPr>
        <w:spacing w:after="100"/>
      </w:pPr>
      <w:r>
        <w:t xml:space="preserve">S05　</w:t>
      </w:r>
      <w:hyperlink r:id="rId52">
        <w:r>
          <w:rPr>
            <w:color w:val="215A83"/>
          </w:rPr>
          <w:t>Runway 官方放映室</w:t>
        </w:r>
      </w:hyperlink>
    </w:p>
    <w:p>
      <w:pPr>
        <w:spacing w:after="100"/>
      </w:pPr>
      <w:r>
        <w:t xml:space="preserve">S06　</w:t>
      </w:r>
      <w:hyperlink r:id="rId60">
        <w:r>
          <w:rPr>
            <w:color w:val="215A83"/>
          </w:rPr>
          <w:t>上影节 2026 AI片场制作采访</w:t>
        </w:r>
      </w:hyperlink>
    </w:p>
    <w:p>
      <w:pPr>
        <w:spacing w:after="100"/>
      </w:pPr>
      <w:r>
        <w:t xml:space="preserve">S07　</w:t>
      </w:r>
      <w:hyperlink r:id="rId61">
        <w:r>
          <w:rPr>
            <w:color w:val="215A83"/>
          </w:rPr>
          <w:t>上影节 AI片场行业观察报告摘要</w:t>
        </w:r>
      </w:hyperlink>
    </w:p>
    <w:p>
      <w:pPr>
        <w:spacing w:after="100"/>
      </w:pPr>
      <w:r>
        <w:t xml:space="preserve">S08　</w:t>
      </w:r>
      <w:hyperlink r:id="rId53">
        <w:r>
          <w:rPr>
            <w:color w:val="215A83"/>
          </w:rPr>
          <w:t>上影节 四组融合创制作作品</w:t>
        </w:r>
      </w:hyperlink>
    </w:p>
    <w:p>
      <w:pPr>
        <w:spacing w:after="100"/>
      </w:pPr>
      <w:r>
        <w:t xml:space="preserve">S09　</w:t>
      </w:r>
      <w:hyperlink r:id="rId54">
        <w:r>
          <w:rPr>
            <w:color w:val="215A83"/>
          </w:rPr>
          <w:t>Google ANCESTRA 幕后制作</w:t>
        </w:r>
      </w:hyperlink>
    </w:p>
    <w:p>
      <w:pPr>
        <w:spacing w:after="100"/>
      </w:pPr>
      <w:r>
        <w:t xml:space="preserve">S10　</w:t>
      </w:r>
      <w:hyperlink r:id="rId55">
        <w:r>
          <w:rPr>
            <w:color w:val="215A83"/>
          </w:rPr>
          <w:t>Google Dear Upstairs Neighbors 幕后制作</w:t>
        </w:r>
      </w:hyperlink>
    </w:p>
    <w:p>
      <w:pPr>
        <w:spacing w:after="100"/>
      </w:pPr>
      <w:r>
        <w:t xml:space="preserve">S11　</w:t>
      </w:r>
      <w:hyperlink r:id="rId62">
        <w:r>
          <w:rPr>
            <w:color w:val="215A83"/>
          </w:rPr>
          <w:t>ByteDance Seedance 2.5 官方发布</w:t>
        </w:r>
      </w:hyperlink>
    </w:p>
    <w:p>
      <w:pPr>
        <w:spacing w:after="100"/>
      </w:pPr>
      <w:r>
        <w:t xml:space="preserve">S12　</w:t>
      </w:r>
      <w:hyperlink r:id="rId63">
        <w:r>
          <w:rPr>
            <w:color w:val="215A83"/>
          </w:rPr>
          <w:t>Google Veo 3.1 更新</w:t>
        </w:r>
      </w:hyperlink>
    </w:p>
    <w:p>
      <w:pPr>
        <w:spacing w:after="100"/>
      </w:pPr>
      <w:r>
        <w:t xml:space="preserve">S13　</w:t>
      </w:r>
      <w:hyperlink r:id="rId64">
        <w:r>
          <w:rPr>
            <w:color w:val="215A83"/>
          </w:rPr>
          <w:t>Runway 官方提示词教程</w:t>
        </w:r>
      </w:hyperlink>
    </w:p>
    <w:p>
      <w:pPr>
        <w:spacing w:after="100"/>
      </w:pPr>
      <w:r>
        <w:t xml:space="preserve">S14　</w:t>
      </w:r>
      <w:hyperlink r:id="rId65">
        <w:r>
          <w:rPr>
            <w:color w:val="215A83"/>
          </w:rPr>
          <w:t>Higgsfield 短片流程与成本示例</w:t>
        </w:r>
      </w:hyperlink>
    </w:p>
    <w:p>
      <w:pPr>
        <w:spacing w:after="100"/>
      </w:pPr>
      <w:r>
        <w:t xml:space="preserve">S15　</w:t>
      </w:r>
      <w:hyperlink r:id="rId66">
        <w:r>
          <w:rPr>
            <w:color w:val="215A83"/>
          </w:rPr>
          <w:t>Higgsfield Cinema Studio 制作访谈</w:t>
        </w:r>
      </w:hyperlink>
    </w:p>
    <w:p>
      <w:pPr>
        <w:spacing w:after="100"/>
      </w:pPr>
      <w:r>
        <w:t xml:space="preserve">S16　</w:t>
      </w:r>
      <w:hyperlink r:id="rId67">
        <w:r>
          <w:rPr>
            <w:color w:val="215A83"/>
          </w:rPr>
          <w:t>Sileent THE BREACH 主创自述</w:t>
        </w:r>
      </w:hyperlink>
    </w:p>
    <w:p>
      <w:pPr>
        <w:spacing w:after="100"/>
      </w:pPr>
      <w:r>
        <w:t xml:space="preserve">S17　</w:t>
      </w:r>
      <w:hyperlink r:id="rId68">
        <w:r>
          <w:rPr>
            <w:color w:val="215A83"/>
          </w:rPr>
          <w:t>Kindred 导演受访 制作周期与声音后期</w:t>
        </w:r>
      </w:hyperlink>
    </w:p>
    <w:p>
      <w:pPr>
        <w:spacing w:after="100"/>
      </w:pPr>
      <w:r>
        <w:t xml:space="preserve">S18　</w:t>
      </w:r>
      <w:hyperlink r:id="rId69">
        <w:r>
          <w:rPr>
            <w:color w:val="215A83"/>
          </w:rPr>
          <w:t>快手 2025 中期业绩 可灵业务</w:t>
        </w:r>
      </w:hyperlink>
    </w:p>
    <w:p>
      <w:pPr>
        <w:spacing w:after="100"/>
      </w:pPr>
      <w:r>
        <w:t xml:space="preserve">S19　</w:t>
      </w:r>
      <w:hyperlink r:id="rId70">
        <w:r>
          <w:rPr>
            <w:color w:val="215A83"/>
          </w:rPr>
          <w:t>北京国际电影节 2026 AIGC征片公告</w:t>
        </w:r>
      </w:hyperlink>
    </w:p>
    <w:p>
      <w:pPr>
        <w:spacing w:after="100"/>
      </w:pPr>
      <w:r>
        <w:t xml:space="preserve">S20　</w:t>
      </w:r>
      <w:hyperlink r:id="rId71">
        <w:r>
          <w:rPr>
            <w:color w:val="215A83"/>
          </w:rPr>
          <w:t>上影节 2025 产业活动日程</w:t>
        </w:r>
      </w:hyperlink>
    </w:p>
    <w:p>
      <w:pPr>
        <w:spacing w:after="100"/>
      </w:pPr>
      <w:r>
        <w:t xml:space="preserve">S21　</w:t>
      </w:r>
      <w:hyperlink r:id="rId72">
        <w:r>
          <w:rPr>
            <w:color w:val="215A83"/>
          </w:rPr>
          <w:t>Higgsfield 官方社区 作品入口</w:t>
        </w:r>
      </w:hyperlink>
    </w:p>
    <w:p>
      <w:pPr>
        <w:spacing w:after="100"/>
      </w:pPr>
      <w:r>
        <w:t xml:space="preserve">S22　</w:t>
      </w:r>
      <w:hyperlink r:id="rId73">
        <w:r>
          <w:rPr>
            <w:color w:val="215A83"/>
          </w:rPr>
          <w:t>Google 与 Sundance Institute AI教育合作</w:t>
        </w:r>
      </w:hyperlink>
    </w:p>
    <w:p>
      <w:pPr>
        <w:spacing w:after="100"/>
      </w:pPr>
      <w:r>
        <w:t xml:space="preserve">S23　</w:t>
      </w:r>
      <w:hyperlink r:id="rId74">
        <w:r>
          <w:rPr>
            <w:color w:val="215A83"/>
          </w:rPr>
          <w:t>BESA 媒体报道与项目链接</w:t>
        </w:r>
      </w:hyperlink>
    </w:p>
    <w:sectPr w:rsidR="00FC693F" w:rsidRPr="0006063C" w:rsidSect="00034616">
      <w:footerReference w:type="default" r:id="rId9"/>
      <w:pgSz w:w="11909" w:h="16834"/>
      <w:pgMar w:top="1008"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libaba PuHuiTi" w:hAnsi="Alibaba PuHuiTi" w:eastAsia="Alibaba PuHuiTi" w:cs="Alibaba PuHuiT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3" w:lineRule="auto" w:after="120"/>
    </w:pPr>
    <w:rPr>
      <w:rFonts w:ascii="Alibaba PuHuiTi" w:hAnsi="Alibaba PuHuiTi" w:eastAsia="Alibaba PuHuiTi" w:cs="Alibaba PuHuiT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Alibaba PuHuiTi" w:hAnsi="Alibaba PuHuiTi" w:eastAsia="Alibaba PuHuiTi" w:cs="Alibaba PuHuiT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Alibaba PuHuiTi" w:hAnsi="Alibaba PuHuiTi" w:eastAsia="Alibaba PuHuiTi" w:cs="Alibaba PuHuiT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Alibaba PuHuiTi" w:hAnsi="Alibaba PuHuiTi" w:eastAsia="Alibaba PuHuiTi" w:cs="Alibaba PuHuiT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libaba PuHuiTi" w:hAnsi="Alibaba PuHuiTi" w:eastAsia="Alibaba PuHuiTi" w:cs="Alibaba PuHuiT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libaba PuHuiTi" w:hAnsi="Alibaba PuHuiTi" w:eastAsia="Alibaba PuHuiTi" w:cs="Alibaba PuHuiT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libaba PuHuiTi" w:hAnsi="Alibaba PuHuiTi" w:eastAsia="Alibaba PuHuiTi" w:cs="Alibaba PuHuiT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libaba PuHuiTi" w:hAnsi="Alibaba PuHuiTi" w:eastAsia="Alibaba PuHuiTi" w:cs="Alibaba PuHuiT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libaba PuHuiTi" w:hAnsi="Alibaba PuHuiTi" w:eastAsia="Alibaba PuHuiTi" w:cs="Alibaba PuHuiT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libaba PuHuiTi" w:hAnsi="Alibaba PuHuiTi" w:eastAsia="Alibaba PuHuiTi" w:cs="Alibaba PuHuiT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libaba PuHuiTi" w:hAnsi="Alibaba PuHuiTi" w:eastAsia="Alibaba PuHuiTi" w:cs="Alibaba PuHuiT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libaba PuHuiTi" w:hAnsi="Alibaba PuHuiTi" w:eastAsia="Alibaba PuHuiTi" w:cs="Alibaba PuHuiTi"/>
      <w:b/>
      <w:bCs/>
      <w:color w:val="4F81BD" w:themeColor="accent1"/>
      <w:sz w:val="26"/>
      <w:szCs w:val="26"/>
    </w:rPr>
  </w:style>
  <w:style w:type="character" w:customStyle="1" w:styleId="Heading3Char">
    <w:name w:val="Heading 3 Char"/>
    <w:basedOn w:val="DefaultParagraphFont"/>
    <w:link w:val="Heading3"/>
    <w:uiPriority w:val="9"/>
    <w:rsid w:val="00FC693F"/>
    <w:rPr>
      <w:rFonts w:ascii="Alibaba PuHuiTi" w:hAnsi="Alibaba PuHuiTi" w:eastAsia="Alibaba PuHuiTi" w:cs="Alibaba PuHuiT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Alibaba PuHuiTi" w:hAnsi="Alibaba PuHuiTi" w:eastAsia="Alibaba PuHuiTi" w:cs="Alibaba PuHuiTi"/>
      <w:b/>
      <w:color w:val="000000"/>
      <w:spacing w:val="5"/>
      <w:kern w:val="28"/>
      <w:sz w:val="50"/>
      <w:szCs w:val="52"/>
    </w:rPr>
  </w:style>
  <w:style w:type="character" w:customStyle="1" w:styleId="TitleChar">
    <w:name w:val="Title Char"/>
    <w:basedOn w:val="DefaultParagraphFont"/>
    <w:link w:val="Title"/>
    <w:uiPriority w:val="10"/>
    <w:rsid w:val="00FC693F"/>
    <w:rPr>
      <w:rFonts w:ascii="Alibaba PuHuiTi" w:hAnsi="Alibaba PuHuiTi" w:eastAsia="Alibaba PuHuiTi" w:cs="Alibaba PuHuiT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60" w:after="120"/>
    </w:pPr>
    <w:rPr>
      <w:rFonts w:ascii="Alibaba PuHuiTi" w:hAnsi="Alibaba PuHuiTi" w:eastAsia="Alibaba PuHuiTi" w:cs="Alibaba PuHuiT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Alibaba PuHuiTi" w:hAnsi="Alibaba PuHuiTi" w:eastAsia="Alibaba PuHuiTi" w:cs="Alibaba PuHuiT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libaba PuHuiTi" w:hAnsi="Alibaba PuHuiTi" w:eastAsia="Alibaba PuHuiTi" w:cs="Alibaba PuHuiTi"/>
      <w:sz w:val="20"/>
      <w:szCs w:val="20"/>
    </w:rPr>
  </w:style>
  <w:style w:type="character" w:customStyle="1" w:styleId="MacroTextChar">
    <w:name w:val="Macro Text Char"/>
    <w:basedOn w:val="DefaultParagraphFont"/>
    <w:link w:val="MacroText"/>
    <w:uiPriority w:val="99"/>
    <w:rsid w:val="0029639D"/>
    <w:rPr>
      <w:rFonts w:ascii="Alibaba PuHuiTi" w:hAnsi="Alibaba PuHuiTi" w:eastAsia="Alibaba PuHuiTi" w:cs="Alibaba PuHuiT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libaba PuHuiTi" w:hAnsi="Alibaba PuHuiTi" w:eastAsia="Alibaba PuHuiTi" w:cs="Alibaba PuHuiTi"/>
      <w:b/>
      <w:bCs/>
      <w:i/>
      <w:iCs/>
      <w:color w:val="4F81BD" w:themeColor="accent1"/>
    </w:rPr>
  </w:style>
  <w:style w:type="character" w:customStyle="1" w:styleId="Heading5Char">
    <w:name w:val="Heading 5 Char"/>
    <w:basedOn w:val="DefaultParagraphFont"/>
    <w:link w:val="Heading5"/>
    <w:uiPriority w:val="9"/>
    <w:semiHidden/>
    <w:rsid w:val="00FC693F"/>
    <w:rPr>
      <w:rFonts w:ascii="Alibaba PuHuiTi" w:hAnsi="Alibaba PuHuiTi" w:eastAsia="Alibaba PuHuiTi" w:cs="Alibaba PuHuiTi"/>
      <w:color w:val="243F60" w:themeColor="accent1" w:themeShade="7F"/>
    </w:rPr>
  </w:style>
  <w:style w:type="character" w:customStyle="1" w:styleId="Heading6Char">
    <w:name w:val="Heading 6 Char"/>
    <w:basedOn w:val="DefaultParagraphFont"/>
    <w:link w:val="Heading6"/>
    <w:uiPriority w:val="9"/>
    <w:semiHidden/>
    <w:rsid w:val="00FC693F"/>
    <w:rPr>
      <w:rFonts w:ascii="Alibaba PuHuiTi" w:hAnsi="Alibaba PuHuiTi" w:eastAsia="Alibaba PuHuiTi" w:cs="Alibaba PuHuiTi"/>
      <w:i/>
      <w:iCs/>
      <w:color w:val="243F60" w:themeColor="accent1" w:themeShade="7F"/>
    </w:rPr>
  </w:style>
  <w:style w:type="character" w:customStyle="1" w:styleId="Heading7Char">
    <w:name w:val="Heading 7 Char"/>
    <w:basedOn w:val="DefaultParagraphFont"/>
    <w:link w:val="Heading7"/>
    <w:uiPriority w:val="9"/>
    <w:semiHidden/>
    <w:rsid w:val="00FC693F"/>
    <w:rPr>
      <w:rFonts w:ascii="Alibaba PuHuiTi" w:hAnsi="Alibaba PuHuiTi" w:eastAsia="Alibaba PuHuiTi" w:cs="Alibaba PuHuiTi"/>
      <w:i/>
      <w:iCs/>
      <w:color w:val="404040" w:themeColor="text1" w:themeTint="BF"/>
    </w:rPr>
  </w:style>
  <w:style w:type="character" w:customStyle="1" w:styleId="Heading8Char">
    <w:name w:val="Heading 8 Char"/>
    <w:basedOn w:val="DefaultParagraphFont"/>
    <w:link w:val="Heading8"/>
    <w:uiPriority w:val="9"/>
    <w:semiHidden/>
    <w:rsid w:val="00FC693F"/>
    <w:rPr>
      <w:rFonts w:ascii="Alibaba PuHuiTi" w:hAnsi="Alibaba PuHuiTi" w:eastAsia="Alibaba PuHuiTi" w:cs="Alibaba PuHuiTi"/>
      <w:color w:val="4F81BD" w:themeColor="accent1"/>
      <w:sz w:val="20"/>
      <w:szCs w:val="20"/>
    </w:rPr>
  </w:style>
  <w:style w:type="character" w:customStyle="1" w:styleId="Heading9Char">
    <w:name w:val="Heading 9 Char"/>
    <w:basedOn w:val="DefaultParagraphFont"/>
    <w:link w:val="Heading9"/>
    <w:uiPriority w:val="9"/>
    <w:semiHidden/>
    <w:rsid w:val="00FC693F"/>
    <w:rPr>
      <w:rFonts w:ascii="Alibaba PuHuiTi" w:hAnsi="Alibaba PuHuiTi" w:eastAsia="Alibaba PuHuiTi" w:cs="Alibaba PuHuiT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libaba PuHuiTi" w:hAnsi="Alibaba PuHuiTi" w:eastAsia="Alibaba PuHuiTi" w:cs="Alibaba PuHuiT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libaba PuHuiTi" w:hAnsi="Alibaba PuHuiTi" w:eastAsia="Alibaba PuHuiTi" w:cs="Alibaba PuHuiT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libaba PuHuiTi" w:hAnsi="Alibaba PuHuiTi" w:eastAsia="Alibaba PuHuiTi" w:cs="Alibaba PuHuiTi"/>
        <w:b/>
        <w:bCs/>
      </w:rPr>
    </w:tblStylePr>
    <w:tblStylePr w:type="lastCol">
      <w:rPr>
        <w:rFonts w:ascii="Alibaba PuHuiTi" w:hAnsi="Alibaba PuHuiTi" w:eastAsia="Alibaba PuHuiTi" w:cs="Alibaba PuHuiT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libaba PuHuiTi" w:hAnsi="Alibaba PuHuiTi" w:eastAsia="Alibaba PuHuiTi" w:cs="Alibaba PuHuiT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libaba PuHuiTi" w:hAnsi="Alibaba PuHuiTi" w:eastAsia="Alibaba PuHuiTi" w:cs="Alibaba PuHuiT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ggsfield.ai/@sam_candler/projects/pon" TargetMode="External"/><Relationship Id="rId11" Type="http://schemas.openxmlformats.org/officeDocument/2006/relationships/hyperlink" Target="file:///Users/jinfeng/Documents/ChatGPT/%E5%88%9B%E6%84%8F%E5%86%85%E5%AE%B9/AI%E7%94%B5%E5%BD%B1%E8%8A%82%E8%B0%83%E7%A0%9420260928/%E8%A7%86%E9%A2%91/01_PON_720p.mp4" TargetMode="External"/><Relationship Id="rId12" Type="http://schemas.openxmlformats.org/officeDocument/2006/relationships/image" Target="media/image1.jpg"/><Relationship Id="rId13" Type="http://schemas.openxmlformats.org/officeDocument/2006/relationships/hyperlink" Target="https://higgsfield.ai/@inzarstudio/projects/null" TargetMode="External"/><Relationship Id="rId14" Type="http://schemas.openxmlformats.org/officeDocument/2006/relationships/hyperlink" Target="file:///Users/jinfeng/Documents/ChatGPT/%E5%88%9B%E6%84%8F%E5%86%85%E5%AE%B9/AI%E7%94%B5%E5%BD%B1%E8%8A%82%E8%B0%83%E7%A0%9420260928/%E8%A7%86%E9%A2%91/02_NULL_720p.mp4" TargetMode="External"/><Relationship Id="rId15" Type="http://schemas.openxmlformats.org/officeDocument/2006/relationships/image" Target="media/image2.jpg"/><Relationship Id="rId16" Type="http://schemas.openxmlformats.org/officeDocument/2006/relationships/hyperlink" Target="https://higgsfield.ai/@bahaa_harb/projects/@id__d5694094-171f-4040-98ca-0202bda53fa8" TargetMode="External"/><Relationship Id="rId17" Type="http://schemas.openxmlformats.org/officeDocument/2006/relationships/hyperlink" Target="file:///Users/jinfeng/Documents/ChatGPT/%E5%88%9B%E6%84%8F%E5%86%85%E5%AE%B9/AI%E7%94%B5%E5%BD%B1%E8%8A%82%E8%B0%83%E7%A0%9420260928/%E8%A7%86%E9%A2%91/04_THE_LAST_COLOR_720p.mp4" TargetMode="External"/><Relationship Id="rId18" Type="http://schemas.openxmlformats.org/officeDocument/2006/relationships/image" Target="media/image3.jpg"/><Relationship Id="rId19" Type="http://schemas.openxmlformats.org/officeDocument/2006/relationships/hyperlink" Target="https://higgsfield.ai/@gen_elai/projects/the-world-worth-living-in" TargetMode="External"/><Relationship Id="rId20" Type="http://schemas.openxmlformats.org/officeDocument/2006/relationships/hyperlink" Target="file:///Users/jinfeng/Documents/ChatGPT/%E5%88%9B%E6%84%8F%E5%86%85%E5%AE%B9/AI%E7%94%B5%E5%BD%B1%E8%8A%82%E8%B0%83%E7%A0%9420260928/%E8%A7%86%E9%A2%91/05_The_World_Worth_Living_In_720p.mp4" TargetMode="External"/><Relationship Id="rId21" Type="http://schemas.openxmlformats.org/officeDocument/2006/relationships/image" Target="media/image4.jpg"/><Relationship Id="rId22" Type="http://schemas.openxmlformats.org/officeDocument/2006/relationships/hyperlink" Target="https://higgsfield.ai/@ollkorrect/projects/besa" TargetMode="External"/><Relationship Id="rId23" Type="http://schemas.openxmlformats.org/officeDocument/2006/relationships/hyperlink" Target="file:///Users/jinfeng/Documents/ChatGPT/%E5%88%9B%E6%84%8F%E5%86%85%E5%AE%B9/AI%E7%94%B5%E5%BD%B1%E8%8A%82%E8%B0%83%E7%A0%9420260928/%E8%A7%86%E9%A2%91/08_BESA_720p.mp4" TargetMode="External"/><Relationship Id="rId24" Type="http://schemas.openxmlformats.org/officeDocument/2006/relationships/image" Target="media/image5.jpg"/><Relationship Id="rId25" Type="http://schemas.openxmlformats.org/officeDocument/2006/relationships/hyperlink" Target="https://higgsfield.ai/@jacob_everett/projects/fallen-leaves" TargetMode="External"/><Relationship Id="rId26" Type="http://schemas.openxmlformats.org/officeDocument/2006/relationships/hyperlink" Target="file:///Users/jinfeng/Documents/ChatGPT/%E5%88%9B%E6%84%8F%E5%86%85%E5%AE%B9/AI%E7%94%B5%E5%BD%B1%E8%8A%82%E8%B0%83%E7%A0%9420260928/%E8%A7%86%E9%A2%91/09_Fallen_Leaves_720p.mp4" TargetMode="External"/><Relationship Id="rId27" Type="http://schemas.openxmlformats.org/officeDocument/2006/relationships/image" Target="media/image6.jpg"/><Relationship Id="rId28" Type="http://schemas.openxmlformats.org/officeDocument/2006/relationships/hyperlink" Target="https://higgsfield.ai/@lejardinier/projects/ballast" TargetMode="External"/><Relationship Id="rId29" Type="http://schemas.openxmlformats.org/officeDocument/2006/relationships/hyperlink" Target="file:///Users/jinfeng/Documents/ChatGPT/%E5%88%9B%E6%84%8F%E5%86%85%E5%AE%B9/AI%E7%94%B5%E5%BD%B1%E8%8A%82%E8%B0%83%E7%A0%9420260928/%E8%A7%86%E9%A2%91/10_BALLAST_720p.mp4" TargetMode="External"/><Relationship Id="rId30" Type="http://schemas.openxmlformats.org/officeDocument/2006/relationships/image" Target="media/image7.jpg"/><Relationship Id="rId31" Type="http://schemas.openxmlformats.org/officeDocument/2006/relationships/hyperlink" Target="https://higgsfield.ai/@aist/projects/detour" TargetMode="External"/><Relationship Id="rId32" Type="http://schemas.openxmlformats.org/officeDocument/2006/relationships/hyperlink" Target="file:///Users/jinfeng/Documents/ChatGPT/%E5%88%9B%E6%84%8F%E5%86%85%E5%AE%B9/AI%E7%94%B5%E5%BD%B1%E8%8A%82%E8%B0%83%E7%A0%9420260928/%E8%A7%86%E9%A2%91/11_Detour_720p.mp4" TargetMode="External"/><Relationship Id="rId33" Type="http://schemas.openxmlformats.org/officeDocument/2006/relationships/image" Target="media/image8.jpg"/><Relationship Id="rId34" Type="http://schemas.openxmlformats.org/officeDocument/2006/relationships/hyperlink" Target="https://higgsfield.ai/@benhamin/projects/the-tortoise-and-the-hare" TargetMode="External"/><Relationship Id="rId35" Type="http://schemas.openxmlformats.org/officeDocument/2006/relationships/hyperlink" Target="file:///Users/jinfeng/Documents/ChatGPT/%E5%88%9B%E6%84%8F%E5%86%85%E5%AE%B9/AI%E7%94%B5%E5%BD%B1%E8%8A%82%E8%B0%83%E7%A0%9420260928/%E8%A7%86%E9%A2%91/12_The_Tortoise_and_the_Hare_720p.mp4" TargetMode="External"/><Relationship Id="rId36" Type="http://schemas.openxmlformats.org/officeDocument/2006/relationships/image" Target="media/image9.jpg"/><Relationship Id="rId37" Type="http://schemas.openxmlformats.org/officeDocument/2006/relationships/hyperlink" Target="https://higgsfield.ai/@seeyousoonx/projects/azul-cobalto" TargetMode="External"/><Relationship Id="rId38" Type="http://schemas.openxmlformats.org/officeDocument/2006/relationships/hyperlink" Target="file:///Users/jinfeng/Documents/ChatGPT/%E5%88%9B%E6%84%8F%E5%86%85%E5%AE%B9/AI%E7%94%B5%E5%BD%B1%E8%8A%82%E8%B0%83%E7%A0%9420260928/%E8%A7%86%E9%A2%91/13_AZUL_COBALTO_720p.mp4" TargetMode="External"/><Relationship Id="rId39" Type="http://schemas.openxmlformats.org/officeDocument/2006/relationships/image" Target="media/image10.jpg"/><Relationship Id="rId40" Type="http://schemas.openxmlformats.org/officeDocument/2006/relationships/hyperlink" Target="https://higgsfield.ai/@shotbyhzee/projects/count-of-three" TargetMode="External"/><Relationship Id="rId41" Type="http://schemas.openxmlformats.org/officeDocument/2006/relationships/hyperlink" Target="file:///Users/jinfeng/Documents/ChatGPT/%E5%88%9B%E6%84%8F%E5%86%85%E5%AE%B9/AI%E7%94%B5%E5%BD%B1%E8%8A%82%E8%B0%83%E7%A0%9420260928/%E8%A7%86%E9%A2%91/14_Count_of_Three_720p.mp4" TargetMode="External"/><Relationship Id="rId42" Type="http://schemas.openxmlformats.org/officeDocument/2006/relationships/image" Target="media/image11.jpg"/><Relationship Id="rId43" Type="http://schemas.openxmlformats.org/officeDocument/2006/relationships/hyperlink" Target="https://higgsfield.ai/@jamil_safari/projects/rest-face" TargetMode="External"/><Relationship Id="rId44" Type="http://schemas.openxmlformats.org/officeDocument/2006/relationships/hyperlink" Target="file:///Users/jinfeng/Documents/ChatGPT/%E5%88%9B%E6%84%8F%E5%86%85%E5%AE%B9/AI%E7%94%B5%E5%BD%B1%E8%8A%82%E8%B0%83%E7%A0%9420260928/%E8%A7%86%E9%A2%91/15_Rest_Face_720p.mp4" TargetMode="External"/><Relationship Id="rId45" Type="http://schemas.openxmlformats.org/officeDocument/2006/relationships/image" Target="media/image12.jpg"/><Relationship Id="rId46" Type="http://schemas.openxmlformats.org/officeDocument/2006/relationships/hyperlink" Target="https://higgsfield.ai/@higgsfield.studio/projects/hell-grind" TargetMode="External"/><Relationship Id="rId47" Type="http://schemas.openxmlformats.org/officeDocument/2006/relationships/hyperlink" Target="file:///Users/jinfeng/Documents/ChatGPT/%E5%88%9B%E6%84%8F%E5%86%85%E5%AE%B9/AI%E7%94%B5%E5%BD%B1%E8%8A%82%E8%B0%83%E7%A0%9420260928/%E8%A7%86%E9%A2%91/07_HELL_GRIND_480p.mp4" TargetMode="External"/><Relationship Id="rId48" Type="http://schemas.openxmlformats.org/officeDocument/2006/relationships/image" Target="media/image13.jpg"/><Relationship Id="rId49" Type="http://schemas.openxmlformats.org/officeDocument/2006/relationships/hyperlink" Target="https://higgsfield.ai/@dantiel_krenk/projects/play" TargetMode="External"/><Relationship Id="rId50" Type="http://schemas.openxmlformats.org/officeDocument/2006/relationships/hyperlink" Target="https://higgsfield.ai/@higgsfield.studio/projects/zephyr" TargetMode="External"/><Relationship Id="rId51" Type="http://schemas.openxmlformats.org/officeDocument/2006/relationships/hyperlink" Target="https://higgsfield.ai/@stadolnikstudio/projects/the-thread" TargetMode="External"/><Relationship Id="rId52" Type="http://schemas.openxmlformats.org/officeDocument/2006/relationships/hyperlink" Target="https://aif.runwayml.com/screening-room" TargetMode="External"/><Relationship Id="rId53" Type="http://schemas.openxmlformats.org/officeDocument/2006/relationships/hyperlink" Target="https://www.siff.com/content?aid=101260626143753840200761756356613064" TargetMode="External"/><Relationship Id="rId54" Type="http://schemas.openxmlformats.org/officeDocument/2006/relationships/hyperlink" Target="https://blog.google/innovation-and-ai/models-and-research/google-deepmind/ancestra-behind-the-scenes/" TargetMode="External"/><Relationship Id="rId55" Type="http://schemas.openxmlformats.org/officeDocument/2006/relationships/hyperlink" Target="https://blog.google/innovation-and-ai/models-and-research/google-deepmind/dear-upstairs-neighbors/" TargetMode="External"/><Relationship Id="rId56" Type="http://schemas.openxmlformats.org/officeDocument/2006/relationships/hyperlink" Target="https://higgsfield.ai/contests/higgsfield-global-film-festival?tab=rules" TargetMode="External"/><Relationship Id="rId57" Type="http://schemas.openxmlformats.org/officeDocument/2006/relationships/hyperlink" Target="https://higgsfield.ai/contests/higgsfield-global-film-festival?step=competition-start&amp;tab=timeline" TargetMode="External"/><Relationship Id="rId58" Type="http://schemas.openxmlformats.org/officeDocument/2006/relationships/hyperlink" Target="https://higgsfield.ai/blog/higgsfield-global-film-festival" TargetMode="External"/><Relationship Id="rId59" Type="http://schemas.openxmlformats.org/officeDocument/2006/relationships/hyperlink" Target="https://aiff.runwayml.com/" TargetMode="External"/><Relationship Id="rId60" Type="http://schemas.openxmlformats.org/officeDocument/2006/relationships/hyperlink" Target="https://www.siff.com/content?aid=101260618135436837290764168859653589" TargetMode="External"/><Relationship Id="rId61" Type="http://schemas.openxmlformats.org/officeDocument/2006/relationships/hyperlink" Target="https://www.siff.com/content?aid=101260713144013846361942359543813767" TargetMode="External"/><Relationship Id="rId62" Type="http://schemas.openxmlformats.org/officeDocument/2006/relationships/hyperlink" Target="https://seed.bytedance.com/en/blog/one-take-creation-flexible-referencing-introducing-seedance-2-5" TargetMode="External"/><Relationship Id="rId63" Type="http://schemas.openxmlformats.org/officeDocument/2006/relationships/hyperlink" Target="https://blog.google/innovation-and-ai/technology/ai/veo-3-1-ingredients-to-video/" TargetMode="External"/><Relationship Id="rId64" Type="http://schemas.openxmlformats.org/officeDocument/2006/relationships/hyperlink" Target="https://academy.runwayml.com/guides/prompting-guide" TargetMode="External"/><Relationship Id="rId65" Type="http://schemas.openxmlformats.org/officeDocument/2006/relationships/hyperlink" Target="https://higgsfield.ai/blog/ai-short-film-pipeline" TargetMode="External"/><Relationship Id="rId66" Type="http://schemas.openxmlformats.org/officeDocument/2006/relationships/hyperlink" Target="https://higgsfield.ai/blog/how-we-built-cinema-studio" TargetMode="External"/><Relationship Id="rId67" Type="http://schemas.openxmlformats.org/officeDocument/2006/relationships/hyperlink" Target="https://www.linkedin.com/posts/sileent_based-on-true-events-ortona-italy-december-activity-7500955204637544448-8x4O" TargetMode="External"/><Relationship Id="rId68" Type="http://schemas.openxmlformats.org/officeDocument/2006/relationships/hyperlink" Target="https://www.oyamag.com/nigerian-filmmaker-adekunle-bryan-enters-1-million-higgsfield-ai-film-contest-with-kindred/" TargetMode="External"/><Relationship Id="rId69" Type="http://schemas.openxmlformats.org/officeDocument/2006/relationships/hyperlink" Target="https://ir.kuaishou.com/system/files-encrypted/nasdaq_kms/assets/2025/08/21/5-03-33/HKEX-EPS_20250821_11803938_0.pdf" TargetMode="External"/><Relationship Id="rId70" Type="http://schemas.openxmlformats.org/officeDocument/2006/relationships/hyperlink" Target="https://www.bjiff.com/xghd/jjdlllt_18698/202602/t20260203_188678.html" TargetMode="External"/><Relationship Id="rId71" Type="http://schemas.openxmlformats.org/officeDocument/2006/relationships/hyperlink" Target="https://www.siff.com/content?aid=101250618091150704948032679972869477" TargetMode="External"/><Relationship Id="rId72" Type="http://schemas.openxmlformats.org/officeDocument/2006/relationships/hyperlink" Target="https://higgsfield.ai/community" TargetMode="External"/><Relationship Id="rId73" Type="http://schemas.openxmlformats.org/officeDocument/2006/relationships/hyperlink" Target="https://blog.google/company-news/outreach-and-initiatives/google-org/sundance-institute-ai-education/" TargetMode="External"/><Relationship Id="rId74" Type="http://schemas.openxmlformats.org/officeDocument/2006/relationships/hyperlink" Target="https://faktiditor.ch/besa-futet-ne-top-50-global-historia-shqiptare-qe-po-terheq-vemendjen-nderkombet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AI电影节作品与制作工业调研</dc:title>
  <dc:subject>Higgsfield样本 中美产业 制作流程</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